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76DC87" w14:textId="2AF9DB80" w:rsidR="00E440CE" w:rsidRPr="00ED7B99" w:rsidRDefault="00EA4D4B">
      <w:pPr>
        <w:widowControl w:val="0"/>
        <w:pBdr>
          <w:top w:val="nil"/>
          <w:left w:val="nil"/>
          <w:bottom w:val="nil"/>
          <w:right w:val="nil"/>
          <w:between w:val="nil"/>
        </w:pBdr>
        <w:spacing w:after="0" w:line="276" w:lineRule="auto"/>
        <w:rPr>
          <w:rFonts w:asciiTheme="majorHAnsi" w:hAnsiTheme="majorHAnsi" w:cstheme="majorHAnsi"/>
        </w:rPr>
      </w:pPr>
      <w:r w:rsidRPr="00ED7B99">
        <w:rPr>
          <w:rFonts w:asciiTheme="majorHAnsi" w:hAnsiTheme="majorHAnsi" w:cstheme="majorHAnsi"/>
          <w:noProof/>
          <w:lang w:val="en-US" w:eastAsia="en-US"/>
        </w:rPr>
        <mc:AlternateContent>
          <mc:Choice Requires="wps">
            <w:drawing>
              <wp:anchor distT="0" distB="0" distL="114300" distR="114300" simplePos="0" relativeHeight="251658752" behindDoc="0" locked="0" layoutInCell="1" allowOverlap="1" wp14:anchorId="4060C3BA" wp14:editId="0DDB23D2">
                <wp:simplePos x="0" y="0"/>
                <wp:positionH relativeFrom="column">
                  <wp:posOffset>0</wp:posOffset>
                </wp:positionH>
                <wp:positionV relativeFrom="paragraph">
                  <wp:posOffset>0</wp:posOffset>
                </wp:positionV>
                <wp:extent cx="635000" cy="635000"/>
                <wp:effectExtent l="0" t="0" r="3175" b="3175"/>
                <wp:wrapNone/>
                <wp:docPr id="16" name="WordArt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D109DE" id="_x0000_t202" coordsize="21600,21600" o:spt="202" path="m,l,21600r21600,l21600,xe">
                <v:stroke joinstyle="miter"/>
                <v:path gradientshapeok="t" o:connecttype="rect"/>
              </v:shapetype>
              <v:shape id="WordArt 5"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ED7B99">
        <w:rPr>
          <w:rFonts w:asciiTheme="majorHAnsi" w:hAnsiTheme="majorHAnsi" w:cstheme="majorHAnsi"/>
          <w:noProof/>
          <w:lang w:val="en-US" w:eastAsia="en-US"/>
        </w:rPr>
        <mc:AlternateContent>
          <mc:Choice Requires="wps">
            <w:drawing>
              <wp:anchor distT="0" distB="0" distL="114300" distR="114300" simplePos="0" relativeHeight="251659776" behindDoc="0" locked="0" layoutInCell="1" allowOverlap="1" wp14:anchorId="5B4189D0" wp14:editId="04BE26EA">
                <wp:simplePos x="0" y="0"/>
                <wp:positionH relativeFrom="column">
                  <wp:posOffset>0</wp:posOffset>
                </wp:positionH>
                <wp:positionV relativeFrom="paragraph">
                  <wp:posOffset>0</wp:posOffset>
                </wp:positionV>
                <wp:extent cx="635000" cy="635000"/>
                <wp:effectExtent l="0" t="0" r="3175" b="3175"/>
                <wp:wrapNone/>
                <wp:docPr id="15"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581C5" id="WordArt 4"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ED7B99">
        <w:rPr>
          <w:rFonts w:asciiTheme="majorHAnsi" w:hAnsiTheme="majorHAnsi" w:cstheme="majorHAnsi"/>
          <w:noProof/>
          <w:lang w:val="en-US" w:eastAsia="en-US"/>
        </w:rPr>
        <mc:AlternateContent>
          <mc:Choice Requires="wps">
            <w:drawing>
              <wp:anchor distT="0" distB="0" distL="114300" distR="114300" simplePos="0" relativeHeight="251660800" behindDoc="0" locked="0" layoutInCell="1" allowOverlap="1" wp14:anchorId="7C50E932" wp14:editId="10032605">
                <wp:simplePos x="0" y="0"/>
                <wp:positionH relativeFrom="column">
                  <wp:posOffset>0</wp:posOffset>
                </wp:positionH>
                <wp:positionV relativeFrom="paragraph">
                  <wp:posOffset>0</wp:posOffset>
                </wp:positionV>
                <wp:extent cx="635000" cy="635000"/>
                <wp:effectExtent l="0" t="0" r="3175" b="3175"/>
                <wp:wrapNone/>
                <wp:docPr id="14"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C00A9" id="WordArt 3"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ED7B99">
        <w:rPr>
          <w:rFonts w:asciiTheme="majorHAnsi" w:hAnsiTheme="majorHAnsi" w:cstheme="majorHAnsi"/>
          <w:noProof/>
          <w:lang w:val="en-US" w:eastAsia="en-US"/>
        </w:rPr>
        <mc:AlternateContent>
          <mc:Choice Requires="wps">
            <w:drawing>
              <wp:anchor distT="0" distB="0" distL="114300" distR="114300" simplePos="0" relativeHeight="251661824" behindDoc="0" locked="0" layoutInCell="1" allowOverlap="1" wp14:anchorId="470F0DF0" wp14:editId="1CF9FB4F">
                <wp:simplePos x="0" y="0"/>
                <wp:positionH relativeFrom="column">
                  <wp:posOffset>0</wp:posOffset>
                </wp:positionH>
                <wp:positionV relativeFrom="paragraph">
                  <wp:posOffset>0</wp:posOffset>
                </wp:positionV>
                <wp:extent cx="635000" cy="635000"/>
                <wp:effectExtent l="0" t="0" r="3175" b="3175"/>
                <wp:wrapNone/>
                <wp:docPr id="13"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182E9" id="WordArt 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6EF717A8" w14:textId="77777777" w:rsidR="00E440CE" w:rsidRPr="00ED7B99" w:rsidRDefault="0054018A">
      <w:pPr>
        <w:widowControl w:val="0"/>
        <w:pBdr>
          <w:top w:val="nil"/>
          <w:left w:val="nil"/>
          <w:bottom w:val="nil"/>
          <w:right w:val="nil"/>
          <w:between w:val="nil"/>
        </w:pBdr>
        <w:spacing w:after="0" w:line="276" w:lineRule="auto"/>
        <w:rPr>
          <w:rFonts w:asciiTheme="majorHAnsi" w:hAnsiTheme="majorHAnsi" w:cstheme="majorHAnsi"/>
        </w:rPr>
      </w:pPr>
      <w:r w:rsidRPr="00ED7B99">
        <w:rPr>
          <w:rFonts w:asciiTheme="majorHAnsi" w:hAnsiTheme="majorHAnsi" w:cstheme="majorHAnsi"/>
          <w:noProof/>
          <w:lang w:val="en-US" w:eastAsia="en-US"/>
        </w:rPr>
        <mc:AlternateContent>
          <mc:Choice Requires="wps">
            <w:drawing>
              <wp:anchor distT="0" distB="0" distL="114300" distR="114300" simplePos="0" relativeHeight="251653120" behindDoc="0" locked="0" layoutInCell="1" hidden="0" allowOverlap="1" wp14:anchorId="279683E2" wp14:editId="544E4AD2">
                <wp:simplePos x="0" y="0"/>
                <wp:positionH relativeFrom="column">
                  <wp:posOffset>114300</wp:posOffset>
                </wp:positionH>
                <wp:positionV relativeFrom="paragraph">
                  <wp:posOffset>0</wp:posOffset>
                </wp:positionV>
                <wp:extent cx="647700" cy="647700"/>
                <wp:effectExtent l="0" t="0" r="0" b="0"/>
                <wp:wrapNone/>
                <wp:docPr id="123" name="Freeform: Shape 123"/>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5E13E" id="Freeform: Shape 123" o:spid="_x0000_s1026" style="position:absolute;margin-left:9pt;margin-top:0;width:51pt;height:51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63500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" path="m,l635000,m,635000r635000,e" strokeweight="1pt">
                <v:stroke startarrowwidth="narrow" startarrowlength="short" endarrowwidth="narrow" endarrowlength="short"/>
                <v:path arrowok="t" o:extrusionok="f"/>
              </v:shape>
            </w:pict>
          </mc:Fallback>
        </mc:AlternateContent>
      </w:r>
      <w:r w:rsidRPr="00ED7B99">
        <w:rPr>
          <w:rFonts w:asciiTheme="majorHAnsi" w:hAnsiTheme="majorHAnsi" w:cstheme="majorHAnsi"/>
          <w:noProof/>
          <w:lang w:val="en-US" w:eastAsia="en-US"/>
        </w:rPr>
        <mc:AlternateContent>
          <mc:Choice Requires="wps">
            <w:drawing>
              <wp:anchor distT="0" distB="0" distL="114300" distR="114300" simplePos="0" relativeHeight="251654144" behindDoc="0" locked="0" layoutInCell="1" hidden="0" allowOverlap="1" wp14:anchorId="5A992C56" wp14:editId="4146B51C">
                <wp:simplePos x="0" y="0"/>
                <wp:positionH relativeFrom="column">
                  <wp:posOffset>114300</wp:posOffset>
                </wp:positionH>
                <wp:positionV relativeFrom="paragraph">
                  <wp:posOffset>0</wp:posOffset>
                </wp:positionV>
                <wp:extent cx="647700" cy="647700"/>
                <wp:effectExtent l="0" t="0" r="0" b="0"/>
                <wp:wrapNone/>
                <wp:docPr id="119" name="Freeform: Shape 119"/>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BAE3B" id="Freeform: Shape 119" o:spid="_x0000_s1026" style="position:absolute;margin-left:9pt;margin-top:0;width:51pt;height:51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63500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" path="m,l635000,m,635000r635000,e" strokeweight="1pt">
                <v:stroke startarrowwidth="narrow" startarrowlength="short" endarrowwidth="narrow" endarrowlength="short"/>
                <v:path arrowok="t" o:extrusionok="f"/>
              </v:shape>
            </w:pict>
          </mc:Fallback>
        </mc:AlternateContent>
      </w:r>
      <w:r w:rsidRPr="00ED7B99">
        <w:rPr>
          <w:rFonts w:asciiTheme="majorHAnsi" w:hAnsiTheme="majorHAnsi" w:cstheme="majorHAnsi"/>
          <w:noProof/>
          <w:lang w:val="en-US" w:eastAsia="en-US"/>
        </w:rPr>
        <mc:AlternateContent>
          <mc:Choice Requires="wps">
            <w:drawing>
              <wp:anchor distT="0" distB="0" distL="114300" distR="114300" simplePos="0" relativeHeight="251655168" behindDoc="0" locked="0" layoutInCell="1" hidden="0" allowOverlap="1" wp14:anchorId="509ED328" wp14:editId="78177327">
                <wp:simplePos x="0" y="0"/>
                <wp:positionH relativeFrom="column">
                  <wp:posOffset>114300</wp:posOffset>
                </wp:positionH>
                <wp:positionV relativeFrom="paragraph">
                  <wp:posOffset>0</wp:posOffset>
                </wp:positionV>
                <wp:extent cx="647700" cy="647700"/>
                <wp:effectExtent l="0" t="0" r="0" b="0"/>
                <wp:wrapNone/>
                <wp:docPr id="124" name="Freeform: Shape 124"/>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F43AF" id="Freeform: Shape 124" o:spid="_x0000_s1026" style="position:absolute;margin-left:9pt;margin-top:0;width:51pt;height:51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63500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" path="m,l635000,m,635000r635000,e" strokeweight="1pt">
                <v:stroke startarrowwidth="narrow" startarrowlength="short" endarrowwidth="narrow" endarrowlength="short"/>
                <v:path arrowok="t" o:extrusionok="f"/>
              </v:shape>
            </w:pict>
          </mc:Fallback>
        </mc:AlternateContent>
      </w:r>
    </w:p>
    <w:p w14:paraId="18538876" w14:textId="77777777" w:rsidR="00E440CE" w:rsidRPr="00ED7B99" w:rsidRDefault="00E440CE">
      <w:pPr>
        <w:spacing w:line="240" w:lineRule="auto"/>
        <w:jc w:val="both"/>
        <w:rPr>
          <w:rFonts w:asciiTheme="majorHAnsi" w:hAnsiTheme="majorHAnsi" w:cstheme="majorHAnsi"/>
        </w:rPr>
      </w:pPr>
    </w:p>
    <w:p w14:paraId="57A6D73B" w14:textId="62AFDE6F" w:rsidR="00E440CE" w:rsidRPr="00ED7B99" w:rsidRDefault="00EA4D4B">
      <w:pPr>
        <w:spacing w:line="240" w:lineRule="auto"/>
        <w:jc w:val="both"/>
        <w:rPr>
          <w:rFonts w:asciiTheme="majorHAnsi" w:hAnsiTheme="majorHAnsi" w:cstheme="majorHAnsi"/>
          <w:color w:val="000000"/>
        </w:rPr>
      </w:pPr>
      <w:r w:rsidRPr="00ED7B99">
        <w:rPr>
          <w:rFonts w:asciiTheme="majorHAnsi" w:hAnsiTheme="majorHAnsi" w:cstheme="majorHAnsi"/>
          <w:noProof/>
          <w:lang w:val="en-US" w:eastAsia="en-US"/>
        </w:rPr>
        <mc:AlternateContent>
          <mc:Choice Requires="wps">
            <w:drawing>
              <wp:anchor distT="0" distB="0" distL="114300" distR="114300" simplePos="0" relativeHeight="251655680" behindDoc="0" locked="0" layoutInCell="1" allowOverlap="1" wp14:anchorId="36A9A644" wp14:editId="7D0060A1">
                <wp:simplePos x="0" y="0"/>
                <wp:positionH relativeFrom="page">
                  <wp:posOffset>1157534</wp:posOffset>
                </wp:positionH>
                <wp:positionV relativeFrom="page">
                  <wp:posOffset>3636458</wp:posOffset>
                </wp:positionV>
                <wp:extent cx="6020241" cy="3214370"/>
                <wp:effectExtent l="0" t="0" r="0" b="508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0241" cy="3214370"/>
                        </a:xfrm>
                        <a:prstGeom prst="rect">
                          <a:avLst/>
                        </a:prstGeom>
                        <a:noFill/>
                        <a:ln>
                          <a:noFill/>
                        </a:ln>
                      </wps:spPr>
                      <wps:txbx>
                        <w:txbxContent>
                          <w:p w14:paraId="3EC41A01" w14:textId="77777777" w:rsidR="00E05164" w:rsidRDefault="00744E87">
                            <w:pPr>
                              <w:spacing w:after="0" w:line="240" w:lineRule="auto"/>
                              <w:jc w:val="center"/>
                              <w:textDirection w:val="btLr"/>
                              <w:rPr>
                                <w:rFonts w:asciiTheme="majorHAnsi" w:eastAsia="Candara" w:hAnsiTheme="majorHAnsi" w:cstheme="majorHAnsi"/>
                                <w:b/>
                                <w:color w:val="000000"/>
                                <w:sz w:val="64"/>
                              </w:rPr>
                            </w:pPr>
                            <w:r w:rsidRPr="005C024B">
                              <w:rPr>
                                <w:rFonts w:asciiTheme="majorHAnsi" w:eastAsia="Candara" w:hAnsiTheme="majorHAnsi" w:cstheme="majorHAnsi"/>
                                <w:b/>
                                <w:color w:val="000000"/>
                                <w:sz w:val="64"/>
                              </w:rPr>
                              <w:t xml:space="preserve">STRATEGIJA RAZVOJA </w:t>
                            </w:r>
                          </w:p>
                          <w:p w14:paraId="4FB9206D" w14:textId="77777777" w:rsidR="00E05164" w:rsidRDefault="00744E87">
                            <w:pPr>
                              <w:spacing w:after="0" w:line="240" w:lineRule="auto"/>
                              <w:jc w:val="center"/>
                              <w:textDirection w:val="btLr"/>
                              <w:rPr>
                                <w:rFonts w:asciiTheme="majorHAnsi" w:eastAsia="Candara" w:hAnsiTheme="majorHAnsi" w:cstheme="majorHAnsi"/>
                                <w:b/>
                                <w:color w:val="000000"/>
                                <w:sz w:val="64"/>
                              </w:rPr>
                            </w:pPr>
                            <w:r w:rsidRPr="005C024B">
                              <w:rPr>
                                <w:rFonts w:asciiTheme="majorHAnsi" w:eastAsia="Candara" w:hAnsiTheme="majorHAnsi" w:cstheme="majorHAnsi"/>
                                <w:b/>
                                <w:color w:val="000000"/>
                                <w:sz w:val="64"/>
                              </w:rPr>
                              <w:t>MALE PRIVREDE</w:t>
                            </w:r>
                            <w:r w:rsidRPr="005C024B">
                              <w:rPr>
                                <w:rFonts w:asciiTheme="majorHAnsi" w:eastAsia="Candara" w:hAnsiTheme="majorHAnsi" w:cstheme="majorHAnsi"/>
                                <w:b/>
                                <w:color w:val="000000"/>
                                <w:sz w:val="64"/>
                              </w:rPr>
                              <w:br/>
                              <w:t xml:space="preserve">FEDERACIJE BOSNE I HERCEGOVINE </w:t>
                            </w:r>
                          </w:p>
                          <w:p w14:paraId="009BD8C7" w14:textId="0DE4A5B9" w:rsidR="00744E87" w:rsidRDefault="00744E87">
                            <w:pPr>
                              <w:spacing w:after="0" w:line="240" w:lineRule="auto"/>
                              <w:jc w:val="center"/>
                              <w:textDirection w:val="btLr"/>
                              <w:rPr>
                                <w:rFonts w:asciiTheme="majorHAnsi" w:eastAsia="Candara" w:hAnsiTheme="majorHAnsi" w:cstheme="majorHAnsi"/>
                                <w:b/>
                                <w:color w:val="000000"/>
                                <w:sz w:val="64"/>
                              </w:rPr>
                            </w:pPr>
                            <w:r w:rsidRPr="005C024B">
                              <w:rPr>
                                <w:rFonts w:asciiTheme="majorHAnsi" w:eastAsia="Candara" w:hAnsiTheme="majorHAnsi" w:cstheme="majorHAnsi"/>
                                <w:b/>
                                <w:color w:val="000000"/>
                                <w:sz w:val="64"/>
                              </w:rPr>
                              <w:t>2022. - 2027</w:t>
                            </w:r>
                            <w:r w:rsidRPr="005C024B">
                              <w:rPr>
                                <w:rFonts w:asciiTheme="majorHAnsi" w:eastAsia="Candara" w:hAnsiTheme="majorHAnsi" w:cstheme="majorHAnsi"/>
                                <w:b/>
                                <w:color w:val="000000"/>
                                <w:sz w:val="64"/>
                              </w:rPr>
                              <w:br/>
                              <w:t xml:space="preserve">- </w:t>
                            </w:r>
                            <w:r w:rsidR="005827F5">
                              <w:rPr>
                                <w:rFonts w:asciiTheme="majorHAnsi" w:eastAsia="Candara" w:hAnsiTheme="majorHAnsi" w:cstheme="majorHAnsi"/>
                                <w:b/>
                                <w:color w:val="000000"/>
                                <w:sz w:val="64"/>
                              </w:rPr>
                              <w:t xml:space="preserve">SITUACIONA ANALIZA - </w:t>
                            </w:r>
                          </w:p>
                          <w:p w14:paraId="75056340" w14:textId="3A20A6D5" w:rsidR="00744E87" w:rsidRPr="005C024B" w:rsidRDefault="005827F5">
                            <w:pPr>
                              <w:spacing w:after="0" w:line="240" w:lineRule="auto"/>
                              <w:jc w:val="center"/>
                              <w:textDirection w:val="btLr"/>
                              <w:rPr>
                                <w:rFonts w:asciiTheme="majorHAnsi" w:hAnsiTheme="majorHAnsi" w:cstheme="majorHAnsi"/>
                              </w:rPr>
                            </w:pPr>
                            <w:r>
                              <w:rPr>
                                <w:rFonts w:asciiTheme="majorHAnsi" w:eastAsia="Candara" w:hAnsiTheme="majorHAnsi" w:cstheme="majorHAnsi"/>
                                <w:b/>
                                <w:color w:val="000000"/>
                                <w:sz w:val="64"/>
                              </w:rPr>
                              <w:t>PRILOG</w:t>
                            </w:r>
                          </w:p>
                          <w:p w14:paraId="75D7F17A" w14:textId="77777777" w:rsidR="00744E87" w:rsidRDefault="00744E87">
                            <w:pPr>
                              <w:spacing w:after="0" w:line="240" w:lineRule="auto"/>
                              <w:jc w:val="right"/>
                              <w:textDirection w:val="btLr"/>
                            </w:pPr>
                            <w:r>
                              <w:rPr>
                                <w:rFonts w:ascii="Arial" w:eastAsia="Arial" w:hAnsi="Arial" w:cs="Arial"/>
                                <w:smallCaps/>
                                <w:color w:val="242852"/>
                                <w:sz w:val="36"/>
                              </w:rPr>
                              <w:t xml:space="preserve">     </w:t>
                            </w:r>
                          </w:p>
                        </w:txbxContent>
                      </wps:txbx>
                      <wps:bodyPr spcFirstLastPara="1" wrap="square" lIns="0" tIns="0" rIns="0" bIns="0" anchor="b"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9A644" id="Rectangle 12" o:spid="_x0000_s1026" style="position:absolute;left:0;text-align:left;margin-left:91.15pt;margin-top:286.35pt;width:474.05pt;height:253.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" filled="f" stroked="f">
                <v:textbox inset="0,0,0,0">
                  <w:txbxContent>
                    <w:p w14:paraId="3EC41A01" w14:textId="77777777" w:rsidR="00E05164" w:rsidRDefault="00744E87">
                      <w:pPr>
                        <w:spacing w:after="0" w:line="240" w:lineRule="auto"/>
                        <w:jc w:val="center"/>
                        <w:textDirection w:val="btLr"/>
                        <w:rPr>
                          <w:rFonts w:asciiTheme="majorHAnsi" w:eastAsia="Candara" w:hAnsiTheme="majorHAnsi" w:cstheme="majorHAnsi"/>
                          <w:b/>
                          <w:color w:val="000000"/>
                          <w:sz w:val="64"/>
                        </w:rPr>
                      </w:pPr>
                      <w:r w:rsidRPr="005C024B">
                        <w:rPr>
                          <w:rFonts w:asciiTheme="majorHAnsi" w:eastAsia="Candara" w:hAnsiTheme="majorHAnsi" w:cstheme="majorHAnsi"/>
                          <w:b/>
                          <w:color w:val="000000"/>
                          <w:sz w:val="64"/>
                        </w:rPr>
                        <w:t xml:space="preserve">STRATEGIJA RAZVOJA </w:t>
                      </w:r>
                    </w:p>
                    <w:p w14:paraId="4FB9206D" w14:textId="77777777" w:rsidR="00E05164" w:rsidRDefault="00744E87">
                      <w:pPr>
                        <w:spacing w:after="0" w:line="240" w:lineRule="auto"/>
                        <w:jc w:val="center"/>
                        <w:textDirection w:val="btLr"/>
                        <w:rPr>
                          <w:rFonts w:asciiTheme="majorHAnsi" w:eastAsia="Candara" w:hAnsiTheme="majorHAnsi" w:cstheme="majorHAnsi"/>
                          <w:b/>
                          <w:color w:val="000000"/>
                          <w:sz w:val="64"/>
                        </w:rPr>
                      </w:pPr>
                      <w:r w:rsidRPr="005C024B">
                        <w:rPr>
                          <w:rFonts w:asciiTheme="majorHAnsi" w:eastAsia="Candara" w:hAnsiTheme="majorHAnsi" w:cstheme="majorHAnsi"/>
                          <w:b/>
                          <w:color w:val="000000"/>
                          <w:sz w:val="64"/>
                        </w:rPr>
                        <w:t>MALE PRIVREDE</w:t>
                      </w:r>
                      <w:r w:rsidRPr="005C024B">
                        <w:rPr>
                          <w:rFonts w:asciiTheme="majorHAnsi" w:eastAsia="Candara" w:hAnsiTheme="majorHAnsi" w:cstheme="majorHAnsi"/>
                          <w:b/>
                          <w:color w:val="000000"/>
                          <w:sz w:val="64"/>
                        </w:rPr>
                        <w:br/>
                        <w:t xml:space="preserve">FEDERACIJE BOSNE I HERCEGOVINE </w:t>
                      </w:r>
                    </w:p>
                    <w:p w14:paraId="009BD8C7" w14:textId="0DE4A5B9" w:rsidR="00744E87" w:rsidRDefault="00744E87">
                      <w:pPr>
                        <w:spacing w:after="0" w:line="240" w:lineRule="auto"/>
                        <w:jc w:val="center"/>
                        <w:textDirection w:val="btLr"/>
                        <w:rPr>
                          <w:rFonts w:asciiTheme="majorHAnsi" w:eastAsia="Candara" w:hAnsiTheme="majorHAnsi" w:cstheme="majorHAnsi"/>
                          <w:b/>
                          <w:color w:val="000000"/>
                          <w:sz w:val="64"/>
                        </w:rPr>
                      </w:pPr>
                      <w:r w:rsidRPr="005C024B">
                        <w:rPr>
                          <w:rFonts w:asciiTheme="majorHAnsi" w:eastAsia="Candara" w:hAnsiTheme="majorHAnsi" w:cstheme="majorHAnsi"/>
                          <w:b/>
                          <w:color w:val="000000"/>
                          <w:sz w:val="64"/>
                        </w:rPr>
                        <w:t>2022. - 2027</w:t>
                      </w:r>
                      <w:r w:rsidRPr="005C024B">
                        <w:rPr>
                          <w:rFonts w:asciiTheme="majorHAnsi" w:eastAsia="Candara" w:hAnsiTheme="majorHAnsi" w:cstheme="majorHAnsi"/>
                          <w:b/>
                          <w:color w:val="000000"/>
                          <w:sz w:val="64"/>
                        </w:rPr>
                        <w:br/>
                        <w:t xml:space="preserve">- </w:t>
                      </w:r>
                      <w:r w:rsidR="005827F5">
                        <w:rPr>
                          <w:rFonts w:asciiTheme="majorHAnsi" w:eastAsia="Candara" w:hAnsiTheme="majorHAnsi" w:cstheme="majorHAnsi"/>
                          <w:b/>
                          <w:color w:val="000000"/>
                          <w:sz w:val="64"/>
                        </w:rPr>
                        <w:t xml:space="preserve">SITUACIONA ANALIZA - </w:t>
                      </w:r>
                    </w:p>
                    <w:p w14:paraId="75056340" w14:textId="3A20A6D5" w:rsidR="00744E87" w:rsidRPr="005C024B" w:rsidRDefault="005827F5">
                      <w:pPr>
                        <w:spacing w:after="0" w:line="240" w:lineRule="auto"/>
                        <w:jc w:val="center"/>
                        <w:textDirection w:val="btLr"/>
                        <w:rPr>
                          <w:rFonts w:asciiTheme="majorHAnsi" w:hAnsiTheme="majorHAnsi" w:cstheme="majorHAnsi"/>
                        </w:rPr>
                      </w:pPr>
                      <w:r>
                        <w:rPr>
                          <w:rFonts w:asciiTheme="majorHAnsi" w:eastAsia="Candara" w:hAnsiTheme="majorHAnsi" w:cstheme="majorHAnsi"/>
                          <w:b/>
                          <w:color w:val="000000"/>
                          <w:sz w:val="64"/>
                        </w:rPr>
                        <w:t>PRILOG</w:t>
                      </w:r>
                    </w:p>
                    <w:p w14:paraId="75D7F17A" w14:textId="77777777" w:rsidR="00744E87" w:rsidRDefault="00744E87">
                      <w:pPr>
                        <w:spacing w:after="0" w:line="240" w:lineRule="auto"/>
                        <w:jc w:val="right"/>
                        <w:textDirection w:val="btLr"/>
                      </w:pPr>
                      <w:r>
                        <w:rPr>
                          <w:rFonts w:ascii="Arial" w:eastAsia="Arial" w:hAnsi="Arial" w:cs="Arial"/>
                          <w:smallCaps/>
                          <w:color w:val="242852"/>
                          <w:sz w:val="36"/>
                        </w:rPr>
                        <w:t xml:space="preserve">     </w:t>
                      </w:r>
                    </w:p>
                  </w:txbxContent>
                </v:textbox>
                <w10:wrap type="square" anchorx="page" anchory="page"/>
              </v:rect>
            </w:pict>
          </mc:Fallback>
        </mc:AlternateContent>
      </w:r>
      <w:r w:rsidRPr="00ED7B99">
        <w:rPr>
          <w:rFonts w:asciiTheme="majorHAnsi" w:hAnsiTheme="majorHAnsi" w:cstheme="majorHAnsi"/>
          <w:noProof/>
          <w:lang w:val="en-US" w:eastAsia="en-US"/>
        </w:rPr>
        <mc:AlternateContent>
          <mc:Choice Requires="wpg">
            <w:drawing>
              <wp:anchor distT="0" distB="0" distL="114300" distR="114300" simplePos="0" relativeHeight="251656704" behindDoc="0" locked="0" layoutInCell="1" allowOverlap="1" wp14:anchorId="255C455D" wp14:editId="73D7D773">
                <wp:simplePos x="0" y="0"/>
                <wp:positionH relativeFrom="page">
                  <wp:posOffset>349250</wp:posOffset>
                </wp:positionH>
                <wp:positionV relativeFrom="page">
                  <wp:align>center</wp:align>
                </wp:positionV>
                <wp:extent cx="228600" cy="91440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9144000"/>
                          <a:chOff x="5231700" y="0"/>
                          <a:chExt cx="228600" cy="7560000"/>
                        </a:xfrm>
                      </wpg:grpSpPr>
                      <wpg:grpSp>
                        <wpg:cNvPr id="6" name="Group 4"/>
                        <wpg:cNvGrpSpPr/>
                        <wpg:grpSpPr>
                          <a:xfrm>
                            <a:off x="5231700" y="0"/>
                            <a:ext cx="228600" cy="7560000"/>
                            <a:chOff x="5231700" y="0"/>
                            <a:chExt cx="228600" cy="7560000"/>
                          </a:xfrm>
                        </wpg:grpSpPr>
                        <wps:wsp>
                          <wps:cNvPr id="7" name="Rectangle 5"/>
                          <wps:cNvSpPr/>
                          <wps:spPr>
                            <a:xfrm>
                              <a:off x="5231700" y="0"/>
                              <a:ext cx="228600" cy="7560000"/>
                            </a:xfrm>
                            <a:prstGeom prst="rect">
                              <a:avLst/>
                            </a:prstGeom>
                            <a:noFill/>
                            <a:ln>
                              <a:noFill/>
                            </a:ln>
                          </wps:spPr>
                          <wps:txbx>
                            <w:txbxContent>
                              <w:p w14:paraId="5CA47305" w14:textId="77777777" w:rsidR="00744E87" w:rsidRDefault="00744E87">
                                <w:pPr>
                                  <w:spacing w:after="0" w:line="240" w:lineRule="auto"/>
                                  <w:textDirection w:val="btLr"/>
                                </w:pPr>
                              </w:p>
                            </w:txbxContent>
                          </wps:txbx>
                          <wps:bodyPr spcFirstLastPara="1" wrap="square" lIns="91425" tIns="91425" rIns="91425" bIns="91425" anchor="ctr" anchorCtr="0">
                            <a:noAutofit/>
                          </wps:bodyPr>
                        </wps:wsp>
                        <wpg:grpSp>
                          <wpg:cNvPr id="8" name="Group 6"/>
                          <wpg:cNvGrpSpPr/>
                          <wpg:grpSpPr>
                            <a:xfrm>
                              <a:off x="5231700" y="0"/>
                              <a:ext cx="228600" cy="7560000"/>
                              <a:chOff x="0" y="0"/>
                              <a:chExt cx="228600" cy="9144000"/>
                            </a:xfrm>
                          </wpg:grpSpPr>
                          <wps:wsp>
                            <wps:cNvPr id="9" name="Rectangle 7"/>
                            <wps:cNvSpPr/>
                            <wps:spPr>
                              <a:xfrm>
                                <a:off x="0" y="0"/>
                                <a:ext cx="228600" cy="9144000"/>
                              </a:xfrm>
                              <a:prstGeom prst="rect">
                                <a:avLst/>
                              </a:prstGeom>
                              <a:noFill/>
                              <a:ln>
                                <a:noFill/>
                              </a:ln>
                            </wps:spPr>
                            <wps:txbx>
                              <w:txbxContent>
                                <w:p w14:paraId="67395A0C" w14:textId="77777777" w:rsidR="00744E87" w:rsidRDefault="00744E87">
                                  <w:pPr>
                                    <w:spacing w:after="0" w:line="240" w:lineRule="auto"/>
                                    <w:textDirection w:val="btLr"/>
                                  </w:pPr>
                                </w:p>
                              </w:txbxContent>
                            </wps:txbx>
                            <wps:bodyPr spcFirstLastPara="1" wrap="square" lIns="91425" tIns="91425" rIns="91425" bIns="91425" anchor="ctr" anchorCtr="0">
                              <a:noAutofit/>
                            </wps:bodyPr>
                          </wps:wsp>
                          <wps:wsp>
                            <wps:cNvPr id="10" name="Rectangle 8"/>
                            <wps:cNvSpPr/>
                            <wps:spPr>
                              <a:xfrm>
                                <a:off x="0" y="0"/>
                                <a:ext cx="228600" cy="8782050"/>
                              </a:xfrm>
                              <a:prstGeom prst="rect">
                                <a:avLst/>
                              </a:prstGeom>
                              <a:solidFill>
                                <a:srgbClr val="1E5F9F"/>
                              </a:solidFill>
                              <a:ln>
                                <a:noFill/>
                              </a:ln>
                            </wps:spPr>
                            <wps:txbx>
                              <w:txbxContent>
                                <w:p w14:paraId="2636A62F" w14:textId="77777777" w:rsidR="00744E87" w:rsidRDefault="00744E87">
                                  <w:pPr>
                                    <w:spacing w:after="0" w:line="240" w:lineRule="auto"/>
                                    <w:textDirection w:val="btLr"/>
                                  </w:pPr>
                                </w:p>
                              </w:txbxContent>
                            </wps:txbx>
                            <wps:bodyPr spcFirstLastPara="1" wrap="square" lIns="91425" tIns="91425" rIns="91425" bIns="91425" anchor="ctr" anchorCtr="0">
                              <a:noAutofit/>
                            </wps:bodyPr>
                          </wps:wsp>
                          <wps:wsp>
                            <wps:cNvPr id="11" name="Rectangle 9"/>
                            <wps:cNvSpPr/>
                            <wps:spPr>
                              <a:xfrm>
                                <a:off x="0" y="8915400"/>
                                <a:ext cx="228600" cy="228600"/>
                              </a:xfrm>
                              <a:prstGeom prst="rect">
                                <a:avLst/>
                              </a:prstGeom>
                              <a:solidFill>
                                <a:srgbClr val="1E5F9F"/>
                              </a:solidFill>
                              <a:ln>
                                <a:noFill/>
                              </a:ln>
                            </wps:spPr>
                            <wps:txbx>
                              <w:txbxContent>
                                <w:p w14:paraId="14DB392C" w14:textId="77777777" w:rsidR="00744E87" w:rsidRDefault="00744E87">
                                  <w:pPr>
                                    <w:spacing w:after="0" w:line="240" w:lineRule="auto"/>
                                    <w:textDirection w:val="btLr"/>
                                  </w:pPr>
                                </w:p>
                              </w:txbxContent>
                            </wps:txbx>
                            <wps:bodyPr spcFirstLastPara="1" wrap="square" lIns="91425" tIns="91425" rIns="91425" bIns="91425" anchor="ctr" anchorCtr="0">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5C455D" id="Group 5" o:spid="_x0000_s1027" style="position:absolute;left:0;text-align:left;margin-left:27.5pt;margin-top:0;width:18pt;height:10in;z-index:251656704;mso-position-horizontal-relative:page;mso-position-vertical:center;mso-position-vertical-relative:page" coordorigin="52317" coordsize="228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">
                <v:group id="Group 4" o:spid="_x0000_s1028" style="position:absolute;left:52317;width:2286;height:75600" coordorigin="52317" coordsize="2286,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29" style="position:absolute;left:52317;width:2286;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5CA47305" w14:textId="77777777" w:rsidR="00744E87" w:rsidRDefault="00744E87">
                          <w:pPr>
                            <w:spacing w:after="0" w:line="240" w:lineRule="auto"/>
                            <w:textDirection w:val="btLr"/>
                          </w:pPr>
                        </w:p>
                      </w:txbxContent>
                    </v:textbox>
                  </v:rect>
                  <v:group id="Group 6" o:spid="_x0000_s1030" style="position:absolute;left:52317;width:2286;height:75600"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 o:spid="_x0000_s1031"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7395A0C" w14:textId="77777777" w:rsidR="00744E87" w:rsidRDefault="00744E87">
                            <w:pPr>
                              <w:spacing w:after="0" w:line="240" w:lineRule="auto"/>
                              <w:textDirection w:val="btLr"/>
                            </w:pPr>
                          </w:p>
                        </w:txbxContent>
                      </v:textbox>
                    </v:rect>
                    <v:rect id="Rectangle 8" o:spid="_x0000_s1032"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" fillcolor="#1e5f9f" stroked="f">
                      <v:textbox inset="2.53958mm,2.53958mm,2.53958mm,2.53958mm">
                        <w:txbxContent>
                          <w:p w14:paraId="2636A62F" w14:textId="77777777" w:rsidR="00744E87" w:rsidRDefault="00744E87">
                            <w:pPr>
                              <w:spacing w:after="0" w:line="240" w:lineRule="auto"/>
                              <w:textDirection w:val="btLr"/>
                            </w:pPr>
                          </w:p>
                        </w:txbxContent>
                      </v:textbox>
                    </v:rect>
                    <v:rect id="Rectangle 9" o:spid="_x0000_s1033"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" fillcolor="#1e5f9f" stroked="f">
                      <v:textbox inset="2.53958mm,2.53958mm,2.53958mm,2.53958mm">
                        <w:txbxContent>
                          <w:p w14:paraId="14DB392C" w14:textId="77777777" w:rsidR="00744E87" w:rsidRDefault="00744E87">
                            <w:pPr>
                              <w:spacing w:after="0" w:line="240" w:lineRule="auto"/>
                              <w:textDirection w:val="btLr"/>
                            </w:pPr>
                          </w:p>
                        </w:txbxContent>
                      </v:textbox>
                    </v:rect>
                  </v:group>
                </v:group>
                <w10:wrap anchorx="page" anchory="page"/>
              </v:group>
            </w:pict>
          </mc:Fallback>
        </mc:AlternateContent>
      </w:r>
      <w:r w:rsidR="003422A9" w:rsidRPr="00ED7B99">
        <w:rPr>
          <w:rFonts w:asciiTheme="majorHAnsi" w:hAnsiTheme="majorHAnsi" w:cstheme="majorHAnsi"/>
        </w:rPr>
        <w:br w:type="page"/>
      </w:r>
    </w:p>
    <w:p w14:paraId="36FE2E07" w14:textId="7EC7E945" w:rsidR="00E440CE" w:rsidRPr="00ED7B99" w:rsidRDefault="00E440CE" w:rsidP="00ED6EB6">
      <w:pPr>
        <w:spacing w:after="0" w:line="240" w:lineRule="auto"/>
        <w:rPr>
          <w:rFonts w:asciiTheme="majorHAnsi" w:hAnsiTheme="majorHAnsi" w:cstheme="majorHAnsi"/>
          <w:sz w:val="20"/>
          <w:szCs w:val="20"/>
        </w:rPr>
      </w:pPr>
    </w:p>
    <w:p w14:paraId="2EB86A88" w14:textId="4248152F" w:rsidR="00E440CE" w:rsidRPr="00ED7B99" w:rsidRDefault="003422A9" w:rsidP="004C0398">
      <w:pPr>
        <w:pStyle w:val="Heading1"/>
        <w:numPr>
          <w:ilvl w:val="0"/>
          <w:numId w:val="13"/>
        </w:numPr>
        <w:rPr>
          <w:rFonts w:asciiTheme="majorHAnsi" w:eastAsia="Calibri" w:hAnsiTheme="majorHAnsi" w:cstheme="majorHAnsi"/>
        </w:rPr>
      </w:pPr>
      <w:bookmarkStart w:id="1" w:name="_Toc117458907"/>
      <w:r w:rsidRPr="00ED7B99">
        <w:rPr>
          <w:rFonts w:asciiTheme="majorHAnsi" w:eastAsia="Calibri" w:hAnsiTheme="majorHAnsi" w:cstheme="majorHAnsi"/>
        </w:rPr>
        <w:t>Situaciona analiza Strategije razvoja male privrede Federacije BiH</w:t>
      </w:r>
      <w:bookmarkEnd w:id="1"/>
      <w:r w:rsidRPr="00ED7B99">
        <w:rPr>
          <w:rFonts w:asciiTheme="majorHAnsi" w:eastAsia="Calibri" w:hAnsiTheme="majorHAnsi" w:cstheme="majorHAnsi"/>
        </w:rPr>
        <w:t xml:space="preserve"> </w:t>
      </w:r>
    </w:p>
    <w:p w14:paraId="73DB9D8C" w14:textId="681FEBA5" w:rsidR="00E440CE" w:rsidRPr="00ED7B99" w:rsidRDefault="003422A9" w:rsidP="004C0398">
      <w:pPr>
        <w:pStyle w:val="Heading2"/>
        <w:numPr>
          <w:ilvl w:val="1"/>
          <w:numId w:val="13"/>
        </w:numPr>
        <w:rPr>
          <w:rFonts w:asciiTheme="majorHAnsi" w:eastAsia="Calibri" w:hAnsiTheme="majorHAnsi" w:cstheme="majorHAnsi"/>
        </w:rPr>
      </w:pPr>
      <w:bookmarkStart w:id="2" w:name="_Toc117458908"/>
      <w:r w:rsidRPr="00ED7B99">
        <w:rPr>
          <w:rFonts w:asciiTheme="majorHAnsi" w:eastAsia="Calibri" w:hAnsiTheme="majorHAnsi" w:cstheme="majorHAnsi"/>
        </w:rPr>
        <w:t>Ekonomski pokazatelji poslovanja male privrede Federacije BiH</w:t>
      </w:r>
      <w:bookmarkEnd w:id="2"/>
    </w:p>
    <w:p w14:paraId="4B380243" w14:textId="77777777" w:rsidR="00E440CE" w:rsidRPr="00ED7B99" w:rsidRDefault="00E440CE">
      <w:pPr>
        <w:pBdr>
          <w:top w:val="nil"/>
          <w:left w:val="nil"/>
          <w:bottom w:val="nil"/>
          <w:right w:val="nil"/>
          <w:between w:val="nil"/>
        </w:pBdr>
        <w:spacing w:after="120" w:line="264" w:lineRule="auto"/>
        <w:ind w:left="720"/>
        <w:rPr>
          <w:rFonts w:asciiTheme="majorHAnsi" w:hAnsiTheme="majorHAnsi" w:cstheme="majorHAnsi"/>
          <w:color w:val="000000"/>
          <w:sz w:val="20"/>
          <w:szCs w:val="20"/>
        </w:rPr>
      </w:pPr>
    </w:p>
    <w:p w14:paraId="3EBBAEAA" w14:textId="25CCF714" w:rsidR="00E440CE" w:rsidRPr="00ED7B99" w:rsidRDefault="005827F5">
      <w:pPr>
        <w:pStyle w:val="Heading3"/>
        <w:ind w:firstLine="1440"/>
        <w:rPr>
          <w:rFonts w:asciiTheme="majorHAnsi" w:eastAsia="Calibri" w:hAnsiTheme="majorHAnsi" w:cstheme="majorHAnsi"/>
        </w:rPr>
      </w:pPr>
      <w:bookmarkStart w:id="3" w:name="_Toc117458909"/>
      <w:r>
        <w:rPr>
          <w:rFonts w:asciiTheme="majorHAnsi" w:eastAsia="Calibri" w:hAnsiTheme="majorHAnsi" w:cstheme="majorHAnsi"/>
        </w:rPr>
        <w:t>1</w:t>
      </w:r>
      <w:r w:rsidR="003422A9" w:rsidRPr="00ED7B99">
        <w:rPr>
          <w:rFonts w:asciiTheme="majorHAnsi" w:eastAsia="Calibri" w:hAnsiTheme="majorHAnsi" w:cstheme="majorHAnsi"/>
        </w:rPr>
        <w:t>.1.1. Definicija male privrede</w:t>
      </w:r>
      <w:bookmarkEnd w:id="3"/>
    </w:p>
    <w:p w14:paraId="41287FEE" w14:textId="77777777" w:rsidR="00E440CE" w:rsidRPr="00ED7B99" w:rsidRDefault="00E440CE">
      <w:pPr>
        <w:spacing w:after="0"/>
        <w:rPr>
          <w:rFonts w:asciiTheme="majorHAnsi" w:hAnsiTheme="majorHAnsi" w:cstheme="majorHAnsi"/>
        </w:rPr>
      </w:pPr>
    </w:p>
    <w:p w14:paraId="49C0B4F0" w14:textId="5C40C0FF" w:rsidR="00E440CE" w:rsidRPr="00ED7B99" w:rsidRDefault="003422A9">
      <w:pPr>
        <w:jc w:val="both"/>
        <w:rPr>
          <w:rFonts w:asciiTheme="majorHAnsi" w:hAnsiTheme="majorHAnsi" w:cstheme="majorHAnsi"/>
        </w:rPr>
      </w:pPr>
      <w:r w:rsidRPr="00ED7B99">
        <w:rPr>
          <w:rFonts w:asciiTheme="majorHAnsi" w:hAnsiTheme="majorHAnsi" w:cstheme="majorHAnsi"/>
        </w:rPr>
        <w:t xml:space="preserve">Zakon o poticanju razvoja male privrede ("Službene novine Federacije BiH", br. 19/06) propisuje da malu privredu čine subjekti male privrede, fizička i pravna lica, koja trajno obavljaju zakonom dopuštene djelatnosti radi ostvarivanja dohotka odnosno dobiti, uključujući samoupošljavanje i obiteljske poslove povezane sa obrtom i drugim djelatnostima, registrovani kod nadležnog organa, bez obzira na oblik organizovanja i koji: </w:t>
      </w:r>
    </w:p>
    <w:p w14:paraId="00EA2F1D" w14:textId="77777777" w:rsidR="00E440CE" w:rsidRPr="00ED7B99" w:rsidRDefault="003422A9">
      <w:pPr>
        <w:numPr>
          <w:ilvl w:val="0"/>
          <w:numId w:val="1"/>
        </w:numPr>
        <w:pBdr>
          <w:top w:val="nil"/>
          <w:left w:val="nil"/>
          <w:bottom w:val="nil"/>
          <w:right w:val="nil"/>
          <w:between w:val="nil"/>
        </w:pBdr>
        <w:spacing w:after="0"/>
        <w:jc w:val="both"/>
        <w:rPr>
          <w:rFonts w:asciiTheme="majorHAnsi" w:hAnsiTheme="majorHAnsi" w:cstheme="majorHAnsi"/>
          <w:color w:val="000000"/>
        </w:rPr>
      </w:pPr>
      <w:r w:rsidRPr="00ED7B99">
        <w:rPr>
          <w:rFonts w:asciiTheme="majorHAnsi" w:hAnsiTheme="majorHAnsi" w:cstheme="majorHAnsi"/>
          <w:color w:val="000000"/>
        </w:rPr>
        <w:t>su samostalni u poslovanju,</w:t>
      </w:r>
    </w:p>
    <w:p w14:paraId="331E096F" w14:textId="77777777" w:rsidR="00E440CE" w:rsidRPr="00ED7B99" w:rsidRDefault="003422A9">
      <w:pPr>
        <w:numPr>
          <w:ilvl w:val="0"/>
          <w:numId w:val="1"/>
        </w:numPr>
        <w:pBdr>
          <w:top w:val="nil"/>
          <w:left w:val="nil"/>
          <w:bottom w:val="nil"/>
          <w:right w:val="nil"/>
          <w:between w:val="nil"/>
        </w:pBdr>
        <w:spacing w:after="0"/>
        <w:jc w:val="both"/>
        <w:rPr>
          <w:rFonts w:asciiTheme="majorHAnsi" w:hAnsiTheme="majorHAnsi" w:cstheme="majorHAnsi"/>
          <w:color w:val="000000"/>
        </w:rPr>
      </w:pPr>
      <w:r w:rsidRPr="00ED7B99">
        <w:rPr>
          <w:rFonts w:asciiTheme="majorHAnsi" w:hAnsiTheme="majorHAnsi" w:cstheme="majorHAnsi"/>
          <w:color w:val="000000"/>
        </w:rPr>
        <w:t xml:space="preserve">upošljavaju godišnje manje od 250 lica i </w:t>
      </w:r>
    </w:p>
    <w:p w14:paraId="225CAD03" w14:textId="77777777" w:rsidR="00E440CE" w:rsidRPr="00ED7B99" w:rsidRDefault="003422A9">
      <w:pPr>
        <w:numPr>
          <w:ilvl w:val="0"/>
          <w:numId w:val="1"/>
        </w:numPr>
        <w:pBdr>
          <w:top w:val="nil"/>
          <w:left w:val="nil"/>
          <w:bottom w:val="nil"/>
          <w:right w:val="nil"/>
          <w:between w:val="nil"/>
        </w:pBdr>
        <w:jc w:val="both"/>
        <w:rPr>
          <w:rFonts w:asciiTheme="majorHAnsi" w:hAnsiTheme="majorHAnsi" w:cstheme="majorHAnsi"/>
          <w:color w:val="000000"/>
        </w:rPr>
      </w:pPr>
      <w:r w:rsidRPr="00ED7B99">
        <w:rPr>
          <w:rFonts w:asciiTheme="majorHAnsi" w:hAnsiTheme="majorHAnsi" w:cstheme="majorHAnsi"/>
          <w:color w:val="000000"/>
        </w:rPr>
        <w:t>ostvaruju godišnji promet do 40 miliona KM i/ili čija godišnja bilanca stanja ne prelazi 30 miliona KM</w:t>
      </w:r>
    </w:p>
    <w:p w14:paraId="58660838"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Prema članu 3. pomenutog zakona, samostalnost u poslovanju postoji: </w:t>
      </w:r>
    </w:p>
    <w:p w14:paraId="5D563069" w14:textId="77777777" w:rsidR="00E440CE" w:rsidRPr="00ED7B99" w:rsidRDefault="003422A9">
      <w:pPr>
        <w:numPr>
          <w:ilvl w:val="0"/>
          <w:numId w:val="2"/>
        </w:numPr>
        <w:pBdr>
          <w:top w:val="nil"/>
          <w:left w:val="nil"/>
          <w:bottom w:val="nil"/>
          <w:right w:val="nil"/>
          <w:between w:val="nil"/>
        </w:pBdr>
        <w:spacing w:after="0"/>
        <w:jc w:val="both"/>
        <w:rPr>
          <w:rFonts w:asciiTheme="majorHAnsi" w:hAnsiTheme="majorHAnsi" w:cstheme="majorHAnsi"/>
          <w:color w:val="000000"/>
        </w:rPr>
      </w:pPr>
      <w:r w:rsidRPr="00ED7B99">
        <w:rPr>
          <w:rFonts w:asciiTheme="majorHAnsi" w:hAnsiTheme="majorHAnsi" w:cstheme="majorHAnsi"/>
          <w:color w:val="000000"/>
        </w:rPr>
        <w:t>ako druge fizička ili pravna lica, koja ne ispunjavaju uvjete iz člana 2. ovog Zakona pojedinačno ili zajednički, nisu vlasnici kapitala ili ne učestvuju u pravu odlučivanja više od 25% u subjektu male privrede,</w:t>
      </w:r>
    </w:p>
    <w:p w14:paraId="4E8C090E" w14:textId="77777777" w:rsidR="00E440CE" w:rsidRPr="00ED7B99" w:rsidRDefault="003422A9">
      <w:pPr>
        <w:numPr>
          <w:ilvl w:val="0"/>
          <w:numId w:val="2"/>
        </w:numPr>
        <w:pBdr>
          <w:top w:val="nil"/>
          <w:left w:val="nil"/>
          <w:bottom w:val="nil"/>
          <w:right w:val="nil"/>
          <w:between w:val="nil"/>
        </w:pBdr>
        <w:spacing w:after="0"/>
        <w:jc w:val="both"/>
        <w:rPr>
          <w:rFonts w:asciiTheme="majorHAnsi" w:hAnsiTheme="majorHAnsi" w:cstheme="majorHAnsi"/>
          <w:color w:val="000000"/>
        </w:rPr>
      </w:pPr>
      <w:r w:rsidRPr="00ED7B99">
        <w:rPr>
          <w:rFonts w:asciiTheme="majorHAnsi" w:hAnsiTheme="majorHAnsi" w:cstheme="majorHAnsi"/>
          <w:color w:val="000000"/>
        </w:rPr>
        <w:t xml:space="preserve">ako je prekoračeno učešće od 25%, ukoliko učešće u vlasništvu ili u pravu odlučivanja u subjektu male privrede ima investicijski fond ili javni sektor, pod uvjetom da njihovo učešće u kapitalu ili u pravu odlučivanja pojedinačno ili zajednički nije veće od 50% i </w:t>
      </w:r>
    </w:p>
    <w:p w14:paraId="6D4440EA" w14:textId="77777777" w:rsidR="00E440CE" w:rsidRPr="00ED7B99" w:rsidRDefault="003422A9">
      <w:pPr>
        <w:numPr>
          <w:ilvl w:val="0"/>
          <w:numId w:val="2"/>
        </w:numPr>
        <w:pBdr>
          <w:top w:val="nil"/>
          <w:left w:val="nil"/>
          <w:bottom w:val="nil"/>
          <w:right w:val="nil"/>
          <w:between w:val="nil"/>
        </w:pBdr>
        <w:jc w:val="both"/>
        <w:rPr>
          <w:rFonts w:asciiTheme="majorHAnsi" w:hAnsiTheme="majorHAnsi" w:cstheme="majorHAnsi"/>
          <w:color w:val="000000"/>
        </w:rPr>
      </w:pPr>
      <w:r w:rsidRPr="00ED7B99">
        <w:rPr>
          <w:rFonts w:asciiTheme="majorHAnsi" w:hAnsiTheme="majorHAnsi" w:cstheme="majorHAnsi"/>
          <w:color w:val="000000"/>
        </w:rPr>
        <w:t>ako raspored učešća u vlasništvu subjekta male privrede nije moguće utvrditi te se, na osnovu posebne izjave istog, može opravdano pretpostaviti da druge fizička ili pravna lica iz al. 1. i 2. ovog člana ne prelaze ograničenja uslova samostalnosti u poslovanju subjekata male privrede iz istih alineja ovog člana.</w:t>
      </w:r>
    </w:p>
    <w:p w14:paraId="6E7B413F"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Prema veličini, u smislu ovog Zakona, razlikuju se mikro, mali i srednji subjekti male privrede pri čemu: </w:t>
      </w:r>
    </w:p>
    <w:p w14:paraId="098311FD" w14:textId="77777777" w:rsidR="00E440CE" w:rsidRPr="00ED7B99" w:rsidRDefault="003422A9">
      <w:pPr>
        <w:numPr>
          <w:ilvl w:val="0"/>
          <w:numId w:val="4"/>
        </w:numPr>
        <w:pBdr>
          <w:top w:val="nil"/>
          <w:left w:val="nil"/>
          <w:bottom w:val="nil"/>
          <w:right w:val="nil"/>
          <w:between w:val="nil"/>
        </w:pBdr>
        <w:spacing w:after="0"/>
        <w:jc w:val="both"/>
        <w:rPr>
          <w:rFonts w:asciiTheme="majorHAnsi" w:hAnsiTheme="majorHAnsi" w:cstheme="majorHAnsi"/>
          <w:color w:val="000000"/>
        </w:rPr>
      </w:pPr>
      <w:r w:rsidRPr="00ED7B99">
        <w:rPr>
          <w:rFonts w:asciiTheme="majorHAnsi" w:hAnsiTheme="majorHAnsi" w:cstheme="majorHAnsi"/>
          <w:color w:val="000000"/>
        </w:rPr>
        <w:t xml:space="preserve">Mikro subjekti male privrede su fizička i pravna lica koja upošljavaju prosječno godišnje manje od 10 lica i čiji godišnji promet i/ili godišnja bilansa stanja ne prelazi 400.000 KM, </w:t>
      </w:r>
    </w:p>
    <w:p w14:paraId="0455D362" w14:textId="77777777" w:rsidR="00E440CE" w:rsidRPr="00ED7B99" w:rsidRDefault="003422A9">
      <w:pPr>
        <w:numPr>
          <w:ilvl w:val="0"/>
          <w:numId w:val="4"/>
        </w:numPr>
        <w:pBdr>
          <w:top w:val="nil"/>
          <w:left w:val="nil"/>
          <w:bottom w:val="nil"/>
          <w:right w:val="nil"/>
          <w:between w:val="nil"/>
        </w:pBdr>
        <w:spacing w:after="0"/>
        <w:jc w:val="both"/>
        <w:rPr>
          <w:rFonts w:asciiTheme="majorHAnsi" w:hAnsiTheme="majorHAnsi" w:cstheme="majorHAnsi"/>
          <w:color w:val="000000"/>
        </w:rPr>
      </w:pPr>
      <w:r w:rsidRPr="00ED7B99">
        <w:rPr>
          <w:rFonts w:asciiTheme="majorHAnsi" w:hAnsiTheme="majorHAnsi" w:cstheme="majorHAnsi"/>
          <w:color w:val="000000"/>
        </w:rPr>
        <w:t xml:space="preserve">Mali subjekti male privrede su fizička i pravna lica koja upošljavaju prosječno godišnje manje od 50 lica i čiji godišnji promet i/ili godišnja bilansa stanja ne prelazi četiri miliona KM i </w:t>
      </w:r>
    </w:p>
    <w:p w14:paraId="6B9AFA1E" w14:textId="77777777" w:rsidR="00E440CE" w:rsidRPr="00ED7B99" w:rsidRDefault="003422A9">
      <w:pPr>
        <w:numPr>
          <w:ilvl w:val="0"/>
          <w:numId w:val="4"/>
        </w:numPr>
        <w:pBdr>
          <w:top w:val="nil"/>
          <w:left w:val="nil"/>
          <w:bottom w:val="nil"/>
          <w:right w:val="nil"/>
          <w:between w:val="nil"/>
        </w:pBdr>
        <w:jc w:val="both"/>
        <w:rPr>
          <w:rFonts w:asciiTheme="majorHAnsi" w:hAnsiTheme="majorHAnsi" w:cstheme="majorHAnsi"/>
          <w:color w:val="000000"/>
        </w:rPr>
      </w:pPr>
      <w:r w:rsidRPr="00ED7B99">
        <w:rPr>
          <w:rFonts w:asciiTheme="majorHAnsi" w:hAnsiTheme="majorHAnsi" w:cstheme="majorHAnsi"/>
          <w:color w:val="000000"/>
        </w:rPr>
        <w:t>Srednji subjekti male privrede su fizička i pravna lica koja upošljavaju prosječno godišnje manje od 250 lica, čiji godišnji promet ne prelazi 40 miliona KM i/ili čiji godišnji bilans stanja ne prelazi 30 miliona KM.</w:t>
      </w:r>
    </w:p>
    <w:p w14:paraId="337A2E7C" w14:textId="11073BDE" w:rsidR="00E440CE" w:rsidRPr="00ED7B99" w:rsidRDefault="005827F5">
      <w:pPr>
        <w:pStyle w:val="Heading3"/>
        <w:ind w:firstLine="1440"/>
        <w:rPr>
          <w:rFonts w:asciiTheme="majorHAnsi" w:eastAsia="Calibri" w:hAnsiTheme="majorHAnsi" w:cstheme="majorHAnsi"/>
        </w:rPr>
      </w:pPr>
      <w:bookmarkStart w:id="4" w:name="_Toc117458910"/>
      <w:r>
        <w:rPr>
          <w:rFonts w:asciiTheme="majorHAnsi" w:eastAsia="Calibri" w:hAnsiTheme="majorHAnsi" w:cstheme="majorHAnsi"/>
        </w:rPr>
        <w:t>1</w:t>
      </w:r>
      <w:r w:rsidR="003422A9" w:rsidRPr="00ED7B99">
        <w:rPr>
          <w:rFonts w:asciiTheme="majorHAnsi" w:eastAsia="Calibri" w:hAnsiTheme="majorHAnsi" w:cstheme="majorHAnsi"/>
        </w:rPr>
        <w:t>.1.2. Makroekonomski ambijent Federacije BiH</w:t>
      </w:r>
      <w:bookmarkEnd w:id="4"/>
    </w:p>
    <w:p w14:paraId="35F9B733" w14:textId="2564ED49" w:rsidR="00E47061" w:rsidRDefault="00E47061">
      <w:pPr>
        <w:jc w:val="both"/>
        <w:rPr>
          <w:rFonts w:asciiTheme="majorHAnsi" w:hAnsiTheme="majorHAnsi" w:cstheme="majorHAnsi"/>
        </w:rPr>
      </w:pPr>
      <w:r>
        <w:rPr>
          <w:rFonts w:asciiTheme="majorHAnsi" w:hAnsiTheme="majorHAnsi" w:cstheme="majorHAnsi"/>
        </w:rPr>
        <w:br/>
      </w:r>
      <w:r w:rsidR="003422A9" w:rsidRPr="00ED7B99">
        <w:rPr>
          <w:rFonts w:asciiTheme="majorHAnsi" w:hAnsiTheme="majorHAnsi" w:cstheme="majorHAnsi"/>
        </w:rPr>
        <w:t xml:space="preserve">Ekonomija Federacije BiH, kao i ekonomija Bosne i Hercegovine i druge svjetske ekonomije, pretrpjela je nekoliko šokova od izbijanja COVID-19 pandemije uključujući poremećaje u </w:t>
      </w:r>
      <w:r w:rsidR="003422A9" w:rsidRPr="00ED7B99">
        <w:rPr>
          <w:rFonts w:asciiTheme="majorHAnsi" w:hAnsiTheme="majorHAnsi" w:cstheme="majorHAnsi"/>
        </w:rPr>
        <w:lastRenderedPageBreak/>
        <w:t>lancu snadbijevanja, rast cijena hrane i energenata, te potpuno zatvaranje ili minimiziranje poslovanja određenih djelatnosti. Iako je do 2020. godine, ekonomija Federacije BiH pokazivala rast u indikatorima razvoja, tokom pandemijske godine došlo je do promjene trenda. Međutim, pokazatelji iz 2021. godine ukazuju na postepeni oporavak privrede Federacije BiH, pri čemu je i prosje</w:t>
      </w:r>
      <w:r>
        <w:rPr>
          <w:rFonts w:asciiTheme="majorHAnsi" w:hAnsiTheme="majorHAnsi" w:cstheme="majorHAnsi"/>
        </w:rPr>
        <w:t>č</w:t>
      </w:r>
      <w:r w:rsidR="003422A9" w:rsidRPr="00ED7B99">
        <w:rPr>
          <w:rFonts w:asciiTheme="majorHAnsi" w:hAnsiTheme="majorHAnsi" w:cstheme="majorHAnsi"/>
        </w:rPr>
        <w:t xml:space="preserve">na zaposlenost dosegla nivo od 525.397 što ukazuje na postepeni povratak trenda rasta zaposlenosti u ovom entitetu BiH. </w:t>
      </w:r>
      <w:r w:rsidR="009734C8">
        <w:rPr>
          <w:rFonts w:asciiTheme="majorHAnsi" w:hAnsiTheme="majorHAnsi" w:cstheme="majorHAnsi"/>
        </w:rPr>
        <w:t>Prema najaktuelnijim podacima u vrijeme pisanja situacione analize, broj zaposlenih lica u Federaciji BiH je iznosio 539.551 (oktobar 2022 godine) što ukazuje na dalji trend porasta zaposlenosti</w:t>
      </w:r>
      <w:r>
        <w:rPr>
          <w:rFonts w:asciiTheme="majorHAnsi" w:hAnsiTheme="majorHAnsi" w:cstheme="majorHAnsi"/>
        </w:rPr>
        <w:t xml:space="preserve"> i tokom 2022 godine</w:t>
      </w:r>
      <w:r w:rsidR="009734C8">
        <w:rPr>
          <w:rFonts w:asciiTheme="majorHAnsi" w:hAnsiTheme="majorHAnsi" w:cstheme="majorHAnsi"/>
        </w:rPr>
        <w:t>.</w:t>
      </w:r>
    </w:p>
    <w:p w14:paraId="00E3273D" w14:textId="77777777" w:rsidR="00E47061" w:rsidRDefault="00E47061">
      <w:pPr>
        <w:jc w:val="both"/>
        <w:rPr>
          <w:rFonts w:asciiTheme="majorHAnsi" w:hAnsiTheme="majorHAnsi" w:cstheme="majorHAnsi"/>
        </w:rPr>
      </w:pPr>
      <w:r>
        <w:rPr>
          <w:rFonts w:asciiTheme="majorHAnsi" w:hAnsiTheme="majorHAnsi" w:cstheme="majorHAnsi"/>
        </w:rPr>
        <w:t xml:space="preserve">Bez obzira na trend rasta broja zaposlenih lica, činjenica je da je i </w:t>
      </w:r>
      <w:r w:rsidR="003422A9" w:rsidRPr="00ED7B99">
        <w:rPr>
          <w:rFonts w:asciiTheme="majorHAnsi" w:hAnsiTheme="majorHAnsi" w:cstheme="majorHAnsi"/>
        </w:rPr>
        <w:t>dalje stopa zaposlenosti u Federaciji BiH jako niska</w:t>
      </w:r>
      <w:r>
        <w:rPr>
          <w:rFonts w:asciiTheme="majorHAnsi" w:hAnsiTheme="majorHAnsi" w:cstheme="majorHAnsi"/>
        </w:rPr>
        <w:t xml:space="preserve">. Ona se </w:t>
      </w:r>
      <w:r w:rsidR="003422A9" w:rsidRPr="00ED7B99">
        <w:rPr>
          <w:rFonts w:asciiTheme="majorHAnsi" w:hAnsiTheme="majorHAnsi" w:cstheme="majorHAnsi"/>
        </w:rPr>
        <w:t xml:space="preserve">kreće između 32,6% u 2017. godini i 35% u 2021. godini, dok je poređenja radi stopa zaposlenosti u Europskoj uniji u istom periodu se kretala oko 70%. </w:t>
      </w:r>
    </w:p>
    <w:p w14:paraId="71E8CD51" w14:textId="69AB69FB" w:rsidR="00E440CE" w:rsidRPr="00ED7B99" w:rsidRDefault="00E47061">
      <w:pPr>
        <w:jc w:val="both"/>
        <w:rPr>
          <w:rFonts w:asciiTheme="majorHAnsi" w:hAnsiTheme="majorHAnsi" w:cstheme="majorHAnsi"/>
        </w:rPr>
      </w:pPr>
      <w:r>
        <w:rPr>
          <w:rFonts w:asciiTheme="majorHAnsi" w:hAnsiTheme="majorHAnsi" w:cstheme="majorHAnsi"/>
        </w:rPr>
        <w:t xml:space="preserve">Jedan od ključnih problema na teritoriji BiH a samim time i u F BiH a koji je vidljiv i iz pregleda osnovnih ekonomskih indikatora Federacije BiH je </w:t>
      </w:r>
      <w:r w:rsidR="003422A9" w:rsidRPr="00ED7B99">
        <w:rPr>
          <w:rFonts w:asciiTheme="majorHAnsi" w:hAnsiTheme="majorHAnsi" w:cstheme="majorHAnsi"/>
        </w:rPr>
        <w:t>trend odlaska stanovništva</w:t>
      </w:r>
      <w:r>
        <w:rPr>
          <w:rFonts w:asciiTheme="majorHAnsi" w:hAnsiTheme="majorHAnsi" w:cstheme="majorHAnsi"/>
        </w:rPr>
        <w:t>. Tako je</w:t>
      </w:r>
      <w:r w:rsidR="003422A9" w:rsidRPr="00ED7B99">
        <w:rPr>
          <w:rFonts w:asciiTheme="majorHAnsi" w:hAnsiTheme="majorHAnsi" w:cstheme="majorHAnsi"/>
        </w:rPr>
        <w:t xml:space="preserve"> samo u posmatranom periodu između 2017. godine i 2021.  godine, Federacija BiH zabilježila manje oko 32.000</w:t>
      </w:r>
      <w:r>
        <w:rPr>
          <w:rFonts w:asciiTheme="majorHAnsi" w:hAnsiTheme="majorHAnsi" w:cstheme="majorHAnsi"/>
        </w:rPr>
        <w:t xml:space="preserve"> stanovnika</w:t>
      </w:r>
      <w:r w:rsidR="003422A9" w:rsidRPr="00ED7B99">
        <w:rPr>
          <w:rFonts w:asciiTheme="majorHAnsi" w:hAnsiTheme="majorHAnsi" w:cstheme="majorHAnsi"/>
        </w:rPr>
        <w:t xml:space="preserve">. </w:t>
      </w:r>
      <w:r>
        <w:rPr>
          <w:rFonts w:asciiTheme="majorHAnsi" w:hAnsiTheme="majorHAnsi" w:cstheme="majorHAnsi"/>
        </w:rPr>
        <w:t>Ovaj zabrinjavajući podatak ima svoje dugoročne posljedice jer ne utiče samo na potencijal ekonomskog razvoja već ima i demografske posljedice i zajedno sa smanjenim natalitetom utiče na stvaranje „društva staraca“.</w:t>
      </w:r>
    </w:p>
    <w:p w14:paraId="0B199EA8"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Osnovni ekonomski indikatori makroekonomskog ambijenta Federacije BiH dati su u tabeli ispod, a u daljem tekstu će detaljnije biti obrađeni ključni indikatori za kvantitativnu analizu.</w:t>
      </w:r>
    </w:p>
    <w:p w14:paraId="471E9F29" w14:textId="41B17AEB"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1</w:t>
      </w:r>
      <w:r w:rsidR="0054018A" w:rsidRPr="00ED7B99">
        <w:rPr>
          <w:rFonts w:asciiTheme="majorHAnsi" w:hAnsiTheme="majorHAnsi" w:cstheme="majorHAnsi"/>
        </w:rPr>
        <w:fldChar w:fldCharType="end"/>
      </w:r>
      <w:r w:rsidRPr="00ED7B99">
        <w:rPr>
          <w:rFonts w:asciiTheme="majorHAnsi" w:hAnsiTheme="majorHAnsi" w:cstheme="majorHAnsi"/>
        </w:rPr>
        <w:t>. Osnovni ekonomski indikatori Federacije BiH za period 2017</w:t>
      </w:r>
      <w:r w:rsidR="00ED7B99">
        <w:rPr>
          <w:rFonts w:asciiTheme="majorHAnsi" w:hAnsiTheme="majorHAnsi" w:cstheme="majorHAnsi"/>
        </w:rPr>
        <w:t>.</w:t>
      </w:r>
      <w:r w:rsidRPr="00ED7B99">
        <w:rPr>
          <w:rFonts w:asciiTheme="majorHAnsi" w:hAnsiTheme="majorHAnsi" w:cstheme="majorHAnsi"/>
        </w:rPr>
        <w:t>-2021. godina</w:t>
      </w:r>
    </w:p>
    <w:p w14:paraId="18254F13" w14:textId="77777777" w:rsidR="00E440CE" w:rsidRPr="00ED7B99" w:rsidRDefault="003422A9">
      <w:pPr>
        <w:rPr>
          <w:rFonts w:asciiTheme="majorHAnsi" w:hAnsiTheme="majorHAnsi" w:cstheme="majorHAnsi"/>
        </w:rPr>
      </w:pPr>
      <w:r w:rsidRPr="00ED7B99">
        <w:rPr>
          <w:rFonts w:asciiTheme="majorHAnsi" w:hAnsiTheme="majorHAnsi" w:cstheme="majorHAnsi"/>
          <w:noProof/>
          <w:lang w:val="en-US" w:eastAsia="en-US"/>
        </w:rPr>
        <w:drawing>
          <wp:inline distT="0" distB="0" distL="0" distR="0" wp14:anchorId="58FFCD00" wp14:editId="68685A68">
            <wp:extent cx="5937250" cy="4089400"/>
            <wp:effectExtent l="0" t="0" r="0" b="0"/>
            <wp:docPr id="1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5937250" cy="4089400"/>
                    </a:xfrm>
                    <a:prstGeom prst="rect">
                      <a:avLst/>
                    </a:prstGeom>
                    <a:ln/>
                  </pic:spPr>
                </pic:pic>
              </a:graphicData>
            </a:graphic>
          </wp:inline>
        </w:drawing>
      </w:r>
    </w:p>
    <w:p w14:paraId="6A575C26" w14:textId="77777777" w:rsidR="00E440CE" w:rsidRPr="00ED7B99" w:rsidRDefault="003422A9">
      <w:pPr>
        <w:spacing w:after="0" w:line="240" w:lineRule="auto"/>
        <w:rPr>
          <w:rFonts w:asciiTheme="majorHAnsi" w:hAnsiTheme="majorHAnsi" w:cstheme="majorHAnsi"/>
          <w:i/>
          <w:sz w:val="18"/>
          <w:szCs w:val="18"/>
        </w:rPr>
      </w:pPr>
      <w:r w:rsidRPr="00ED7B99">
        <w:rPr>
          <w:rFonts w:asciiTheme="majorHAnsi" w:hAnsiTheme="majorHAnsi" w:cstheme="majorHAnsi"/>
          <w:i/>
          <w:sz w:val="18"/>
          <w:szCs w:val="18"/>
        </w:rPr>
        <w:t xml:space="preserve">Izvor: Federalni zavod za statistiku, 2021. </w:t>
      </w:r>
    </w:p>
    <w:p w14:paraId="34770C40" w14:textId="77777777" w:rsidR="00E440CE" w:rsidRPr="00ED7B99" w:rsidRDefault="003422A9">
      <w:pPr>
        <w:spacing w:after="0" w:line="240" w:lineRule="auto"/>
        <w:rPr>
          <w:rFonts w:asciiTheme="majorHAnsi" w:hAnsiTheme="majorHAnsi" w:cstheme="majorHAnsi"/>
          <w:i/>
          <w:sz w:val="18"/>
          <w:szCs w:val="18"/>
        </w:rPr>
      </w:pPr>
      <w:r w:rsidRPr="00ED7B99">
        <w:rPr>
          <w:rFonts w:asciiTheme="majorHAnsi" w:hAnsiTheme="majorHAnsi" w:cstheme="majorHAnsi"/>
          <w:i/>
          <w:sz w:val="18"/>
          <w:szCs w:val="18"/>
        </w:rPr>
        <w:t>Obrada: Federalni zavod za programiranje razvoja</w:t>
      </w:r>
    </w:p>
    <w:p w14:paraId="5AD3028A" w14:textId="1C7F5BFC" w:rsidR="00E47061" w:rsidRDefault="00E47061">
      <w:pPr>
        <w:rPr>
          <w:rFonts w:asciiTheme="majorHAnsi" w:hAnsiTheme="majorHAnsi" w:cstheme="majorHAnsi"/>
          <w:b/>
        </w:rPr>
      </w:pPr>
    </w:p>
    <w:p w14:paraId="5CF88EB6" w14:textId="77777777" w:rsidR="00026C1B" w:rsidRPr="00ED7B99" w:rsidRDefault="00026C1B">
      <w:pPr>
        <w:rPr>
          <w:rFonts w:asciiTheme="majorHAnsi" w:hAnsiTheme="majorHAnsi" w:cstheme="majorHAnsi"/>
          <w:b/>
        </w:rPr>
      </w:pPr>
    </w:p>
    <w:p w14:paraId="4ED08E5B" w14:textId="77777777" w:rsidR="00E440CE" w:rsidRPr="00ED7B99" w:rsidRDefault="003422A9">
      <w:pPr>
        <w:rPr>
          <w:rFonts w:asciiTheme="majorHAnsi" w:hAnsiTheme="majorHAnsi" w:cstheme="majorHAnsi"/>
          <w:b/>
        </w:rPr>
      </w:pPr>
      <w:r w:rsidRPr="00ED7B99">
        <w:rPr>
          <w:rFonts w:asciiTheme="majorHAnsi" w:hAnsiTheme="majorHAnsi" w:cstheme="majorHAnsi"/>
          <w:b/>
        </w:rPr>
        <w:t>Bruto domaći proizvod Federacije BiH</w:t>
      </w:r>
    </w:p>
    <w:p w14:paraId="40A0B98F" w14:textId="77777777" w:rsidR="00026C1B" w:rsidRDefault="003422A9" w:rsidP="00026C1B">
      <w:pPr>
        <w:jc w:val="both"/>
        <w:rPr>
          <w:rFonts w:asciiTheme="majorHAnsi" w:hAnsiTheme="majorHAnsi" w:cstheme="majorHAnsi"/>
        </w:rPr>
      </w:pPr>
      <w:r w:rsidRPr="00ED7B99">
        <w:rPr>
          <w:rFonts w:asciiTheme="majorHAnsi" w:hAnsiTheme="majorHAnsi" w:cstheme="majorHAnsi"/>
        </w:rPr>
        <w:t xml:space="preserve">Prema procjeni Federalnog zavoda za statistiku - Saopćenje 10.3.4 od 31.03.2022.godine bruto domaći proizvod (BDP) Federacije BiH je u 2021. godini iznosio 25,02 milijardi KM i veći je za  oko 12% u odnosu na pandemijsku 2020. godinu. </w:t>
      </w:r>
    </w:p>
    <w:p w14:paraId="08C3E91C" w14:textId="70FB83FB" w:rsidR="00026C1B" w:rsidRDefault="003422A9" w:rsidP="00026C1B">
      <w:pPr>
        <w:jc w:val="both"/>
        <w:rPr>
          <w:rFonts w:asciiTheme="majorHAnsi" w:hAnsiTheme="majorHAnsi" w:cstheme="majorHAnsi"/>
        </w:rPr>
      </w:pPr>
      <w:r w:rsidRPr="00ED7B99">
        <w:rPr>
          <w:rFonts w:asciiTheme="majorHAnsi" w:hAnsiTheme="majorHAnsi" w:cstheme="majorHAnsi"/>
        </w:rPr>
        <w:t>Preciznij</w:t>
      </w:r>
      <w:r w:rsidR="00026C1B">
        <w:rPr>
          <w:rFonts w:asciiTheme="majorHAnsi" w:hAnsiTheme="majorHAnsi" w:cstheme="majorHAnsi"/>
        </w:rPr>
        <w:t xml:space="preserve">i </w:t>
      </w:r>
      <w:r w:rsidRPr="00ED7B99">
        <w:rPr>
          <w:rFonts w:asciiTheme="majorHAnsi" w:hAnsiTheme="majorHAnsi" w:cstheme="majorHAnsi"/>
        </w:rPr>
        <w:t>posljednje dostupni  podaci o BDP-u dostupni su za 2020. godinu te je kretanje ovog pokazatelja dato u Tabel</w:t>
      </w:r>
      <w:r w:rsidR="00026C1B">
        <w:rPr>
          <w:rFonts w:asciiTheme="majorHAnsi" w:hAnsiTheme="majorHAnsi" w:cstheme="majorHAnsi"/>
        </w:rPr>
        <w:t>i</w:t>
      </w:r>
      <w:r w:rsidRPr="00ED7B99">
        <w:rPr>
          <w:rFonts w:asciiTheme="majorHAnsi" w:hAnsiTheme="majorHAnsi" w:cstheme="majorHAnsi"/>
        </w:rPr>
        <w:t xml:space="preserve"> 2. </w:t>
      </w:r>
      <w:r w:rsidR="00026C1B" w:rsidRPr="00ED7B99">
        <w:rPr>
          <w:rFonts w:asciiTheme="majorHAnsi" w:hAnsiTheme="majorHAnsi" w:cstheme="majorHAnsi"/>
        </w:rPr>
        <w:t xml:space="preserve">BDP po stanovniku je bilježio kontinuirani trend rasta u periodu od 2016. do 2019. godine te je u posmatranom periodu porastao za 16,3% i u 2019 godini je iznosu i 10.584 KM po stanovniku, odnosno 6.057 USD po stanovniku ili 5.411 EUR po stanovniku. </w:t>
      </w:r>
    </w:p>
    <w:p w14:paraId="2503403B" w14:textId="7486A73E" w:rsidR="00026C1B" w:rsidRPr="00026C1B" w:rsidRDefault="00026C1B" w:rsidP="00026C1B">
      <w:pPr>
        <w:jc w:val="both"/>
        <w:rPr>
          <w:rFonts w:asciiTheme="majorHAnsi" w:hAnsiTheme="majorHAnsi" w:cstheme="majorHAnsi"/>
        </w:rPr>
      </w:pPr>
      <w:r w:rsidRPr="00ED7B99">
        <w:rPr>
          <w:rFonts w:asciiTheme="majorHAnsi" w:hAnsiTheme="majorHAnsi" w:cstheme="majorHAnsi"/>
        </w:rPr>
        <w:t>Godišnje stope realnog rasta su se kretale između 2,9% i 3,8%, a u 2020. godini kao posljedica COVID-19 pandemije zabilježen je pad od 3,6% u odnosu na 2019. godinu</w:t>
      </w:r>
    </w:p>
    <w:p w14:paraId="29151E45" w14:textId="2FA2D79F"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2</w:t>
      </w:r>
      <w:r w:rsidR="0054018A" w:rsidRPr="00ED7B99">
        <w:rPr>
          <w:rFonts w:asciiTheme="majorHAnsi" w:hAnsiTheme="majorHAnsi" w:cstheme="majorHAnsi"/>
        </w:rPr>
        <w:fldChar w:fldCharType="end"/>
      </w:r>
      <w:r w:rsidRPr="00ED7B99">
        <w:rPr>
          <w:rFonts w:asciiTheme="majorHAnsi" w:hAnsiTheme="majorHAnsi" w:cstheme="majorHAnsi"/>
        </w:rPr>
        <w:t>. Bruto domaći proizvod u Federaciji BiH za period 2016-2020 godina</w:t>
      </w:r>
    </w:p>
    <w:tbl>
      <w:tblPr>
        <w:tblStyle w:val="a"/>
        <w:tblW w:w="9228" w:type="dxa"/>
        <w:tblInd w:w="94" w:type="dxa"/>
        <w:tblLayout w:type="fixed"/>
        <w:tblLook w:val="0400" w:firstRow="0" w:lastRow="0" w:firstColumn="0" w:lastColumn="0" w:noHBand="0" w:noVBand="1"/>
      </w:tblPr>
      <w:tblGrid>
        <w:gridCol w:w="2708"/>
        <w:gridCol w:w="1304"/>
        <w:gridCol w:w="1304"/>
        <w:gridCol w:w="1304"/>
        <w:gridCol w:w="1304"/>
        <w:gridCol w:w="1304"/>
      </w:tblGrid>
      <w:tr w:rsidR="00E440CE" w:rsidRPr="00ED7B99" w14:paraId="50AAB1D5" w14:textId="77777777" w:rsidTr="00683004">
        <w:trPr>
          <w:trHeight w:val="315"/>
        </w:trPr>
        <w:tc>
          <w:tcPr>
            <w:tcW w:w="9228" w:type="dxa"/>
            <w:gridSpan w:val="6"/>
            <w:tcBorders>
              <w:top w:val="single" w:sz="8" w:space="0" w:color="BCD6EE"/>
              <w:left w:val="single" w:sz="8" w:space="0" w:color="BCD6EE"/>
              <w:bottom w:val="single" w:sz="8" w:space="0" w:color="BCD6EE"/>
              <w:right w:val="single" w:sz="8" w:space="0" w:color="BCD6EE"/>
            </w:tcBorders>
            <w:shd w:val="clear" w:color="auto" w:fill="BCD9DE" w:themeFill="accent5" w:themeFillTint="66"/>
            <w:vAlign w:val="center"/>
          </w:tcPr>
          <w:p w14:paraId="4A5C4408"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Bruto domaći proizvod, tekuće cijene</w:t>
            </w:r>
          </w:p>
        </w:tc>
      </w:tr>
      <w:tr w:rsidR="00E440CE" w:rsidRPr="00ED7B99" w14:paraId="46BD8260" w14:textId="77777777">
        <w:trPr>
          <w:trHeight w:val="315"/>
        </w:trPr>
        <w:tc>
          <w:tcPr>
            <w:tcW w:w="2708" w:type="dxa"/>
            <w:tcBorders>
              <w:top w:val="nil"/>
              <w:left w:val="single" w:sz="8" w:space="0" w:color="BCD6EE"/>
              <w:bottom w:val="single" w:sz="8" w:space="0" w:color="BCD6EE"/>
              <w:right w:val="single" w:sz="8" w:space="0" w:color="BCD6EE"/>
            </w:tcBorders>
            <w:shd w:val="clear" w:color="auto" w:fill="auto"/>
            <w:vAlign w:val="center"/>
          </w:tcPr>
          <w:p w14:paraId="3F752ACB"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1304" w:type="dxa"/>
            <w:tcBorders>
              <w:top w:val="nil"/>
              <w:left w:val="nil"/>
              <w:bottom w:val="single" w:sz="8" w:space="0" w:color="BCD6EE"/>
              <w:right w:val="single" w:sz="8" w:space="0" w:color="BCD6EE"/>
            </w:tcBorders>
            <w:shd w:val="clear" w:color="auto" w:fill="auto"/>
            <w:vAlign w:val="center"/>
          </w:tcPr>
          <w:p w14:paraId="0CF7959A" w14:textId="77777777" w:rsidR="00E440CE" w:rsidRPr="00ED7B99" w:rsidRDefault="003422A9">
            <w:pPr>
              <w:spacing w:after="0" w:line="240" w:lineRule="auto"/>
              <w:jc w:val="center"/>
              <w:rPr>
                <w:rFonts w:asciiTheme="majorHAnsi" w:hAnsiTheme="majorHAnsi" w:cstheme="majorHAnsi"/>
                <w:b/>
                <w:color w:val="000000"/>
                <w:sz w:val="16"/>
                <w:szCs w:val="16"/>
              </w:rPr>
            </w:pPr>
            <w:r w:rsidRPr="00ED7B99">
              <w:rPr>
                <w:rFonts w:asciiTheme="majorHAnsi" w:hAnsiTheme="majorHAnsi" w:cstheme="majorHAnsi"/>
                <w:b/>
                <w:color w:val="000000"/>
                <w:sz w:val="16"/>
                <w:szCs w:val="16"/>
              </w:rPr>
              <w:t>2016</w:t>
            </w:r>
          </w:p>
        </w:tc>
        <w:tc>
          <w:tcPr>
            <w:tcW w:w="1304" w:type="dxa"/>
            <w:tcBorders>
              <w:top w:val="nil"/>
              <w:left w:val="nil"/>
              <w:bottom w:val="single" w:sz="8" w:space="0" w:color="BCD6EE"/>
              <w:right w:val="single" w:sz="8" w:space="0" w:color="BCD6EE"/>
            </w:tcBorders>
            <w:shd w:val="clear" w:color="auto" w:fill="auto"/>
            <w:vAlign w:val="center"/>
          </w:tcPr>
          <w:p w14:paraId="1132DEFC" w14:textId="77777777" w:rsidR="00E440CE" w:rsidRPr="00ED7B99" w:rsidRDefault="003422A9">
            <w:pPr>
              <w:spacing w:after="0" w:line="240" w:lineRule="auto"/>
              <w:jc w:val="center"/>
              <w:rPr>
                <w:rFonts w:asciiTheme="majorHAnsi" w:hAnsiTheme="majorHAnsi" w:cstheme="majorHAnsi"/>
                <w:b/>
                <w:color w:val="000000"/>
                <w:sz w:val="16"/>
                <w:szCs w:val="16"/>
              </w:rPr>
            </w:pPr>
            <w:r w:rsidRPr="00ED7B99">
              <w:rPr>
                <w:rFonts w:asciiTheme="majorHAnsi" w:hAnsiTheme="majorHAnsi" w:cstheme="majorHAnsi"/>
                <w:b/>
                <w:color w:val="000000"/>
                <w:sz w:val="16"/>
                <w:szCs w:val="16"/>
              </w:rPr>
              <w:t>2017</w:t>
            </w:r>
          </w:p>
        </w:tc>
        <w:tc>
          <w:tcPr>
            <w:tcW w:w="1304" w:type="dxa"/>
            <w:tcBorders>
              <w:top w:val="nil"/>
              <w:left w:val="nil"/>
              <w:bottom w:val="single" w:sz="8" w:space="0" w:color="BCD6EE"/>
              <w:right w:val="single" w:sz="8" w:space="0" w:color="BCD6EE"/>
            </w:tcBorders>
            <w:shd w:val="clear" w:color="auto" w:fill="auto"/>
            <w:vAlign w:val="center"/>
          </w:tcPr>
          <w:p w14:paraId="67A11933" w14:textId="77777777" w:rsidR="00E440CE" w:rsidRPr="00ED7B99" w:rsidRDefault="003422A9">
            <w:pPr>
              <w:spacing w:after="0" w:line="240" w:lineRule="auto"/>
              <w:jc w:val="center"/>
              <w:rPr>
                <w:rFonts w:asciiTheme="majorHAnsi" w:hAnsiTheme="majorHAnsi" w:cstheme="majorHAnsi"/>
                <w:b/>
                <w:color w:val="000000"/>
                <w:sz w:val="16"/>
                <w:szCs w:val="16"/>
              </w:rPr>
            </w:pPr>
            <w:r w:rsidRPr="00ED7B99">
              <w:rPr>
                <w:rFonts w:asciiTheme="majorHAnsi" w:hAnsiTheme="majorHAnsi" w:cstheme="majorHAnsi"/>
                <w:b/>
                <w:color w:val="000000"/>
                <w:sz w:val="16"/>
                <w:szCs w:val="16"/>
              </w:rPr>
              <w:t>2018</w:t>
            </w:r>
          </w:p>
        </w:tc>
        <w:tc>
          <w:tcPr>
            <w:tcW w:w="1304" w:type="dxa"/>
            <w:tcBorders>
              <w:top w:val="nil"/>
              <w:left w:val="nil"/>
              <w:bottom w:val="single" w:sz="8" w:space="0" w:color="BCD6EE"/>
              <w:right w:val="single" w:sz="8" w:space="0" w:color="BCD6EE"/>
            </w:tcBorders>
            <w:shd w:val="clear" w:color="auto" w:fill="auto"/>
            <w:vAlign w:val="center"/>
          </w:tcPr>
          <w:p w14:paraId="2A50A773" w14:textId="77777777" w:rsidR="00E440CE" w:rsidRPr="00ED7B99" w:rsidRDefault="003422A9">
            <w:pPr>
              <w:spacing w:after="0" w:line="240" w:lineRule="auto"/>
              <w:jc w:val="center"/>
              <w:rPr>
                <w:rFonts w:asciiTheme="majorHAnsi" w:hAnsiTheme="majorHAnsi" w:cstheme="majorHAnsi"/>
                <w:b/>
                <w:color w:val="000000"/>
                <w:sz w:val="16"/>
                <w:szCs w:val="16"/>
              </w:rPr>
            </w:pPr>
            <w:r w:rsidRPr="00ED7B99">
              <w:rPr>
                <w:rFonts w:asciiTheme="majorHAnsi" w:hAnsiTheme="majorHAnsi" w:cstheme="majorHAnsi"/>
                <w:b/>
                <w:color w:val="000000"/>
                <w:sz w:val="16"/>
                <w:szCs w:val="16"/>
              </w:rPr>
              <w:t>2019</w:t>
            </w:r>
          </w:p>
        </w:tc>
        <w:tc>
          <w:tcPr>
            <w:tcW w:w="1304" w:type="dxa"/>
            <w:tcBorders>
              <w:top w:val="nil"/>
              <w:left w:val="nil"/>
              <w:bottom w:val="single" w:sz="8" w:space="0" w:color="BCD6EE"/>
              <w:right w:val="single" w:sz="8" w:space="0" w:color="BCD6EE"/>
            </w:tcBorders>
            <w:shd w:val="clear" w:color="auto" w:fill="auto"/>
            <w:vAlign w:val="center"/>
          </w:tcPr>
          <w:p w14:paraId="7334AC28" w14:textId="77777777" w:rsidR="00E440CE" w:rsidRPr="00ED7B99" w:rsidRDefault="003422A9">
            <w:pPr>
              <w:spacing w:after="0" w:line="240" w:lineRule="auto"/>
              <w:jc w:val="center"/>
              <w:rPr>
                <w:rFonts w:asciiTheme="majorHAnsi" w:hAnsiTheme="majorHAnsi" w:cstheme="majorHAnsi"/>
                <w:b/>
                <w:color w:val="000000"/>
                <w:sz w:val="16"/>
                <w:szCs w:val="16"/>
              </w:rPr>
            </w:pPr>
            <w:r w:rsidRPr="00ED7B99">
              <w:rPr>
                <w:rFonts w:asciiTheme="majorHAnsi" w:hAnsiTheme="majorHAnsi" w:cstheme="majorHAnsi"/>
                <w:b/>
                <w:color w:val="000000"/>
                <w:sz w:val="16"/>
                <w:szCs w:val="16"/>
              </w:rPr>
              <w:t>2020</w:t>
            </w:r>
          </w:p>
        </w:tc>
      </w:tr>
      <w:tr w:rsidR="00E440CE" w:rsidRPr="00ED7B99" w14:paraId="441FF888" w14:textId="77777777">
        <w:trPr>
          <w:trHeight w:val="315"/>
        </w:trPr>
        <w:tc>
          <w:tcPr>
            <w:tcW w:w="2708" w:type="dxa"/>
            <w:tcBorders>
              <w:top w:val="nil"/>
              <w:left w:val="single" w:sz="8" w:space="0" w:color="BCD6EE"/>
              <w:bottom w:val="single" w:sz="8" w:space="0" w:color="BCD6EE"/>
              <w:right w:val="single" w:sz="8" w:space="0" w:color="BCD6EE"/>
            </w:tcBorders>
            <w:shd w:val="clear" w:color="auto" w:fill="auto"/>
            <w:vAlign w:val="center"/>
          </w:tcPr>
          <w:p w14:paraId="6F3F82D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 xml:space="preserve">Bruto domaći proizvod </w:t>
            </w:r>
          </w:p>
          <w:p w14:paraId="728BC733"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(000 KM)</w:t>
            </w:r>
          </w:p>
        </w:tc>
        <w:tc>
          <w:tcPr>
            <w:tcW w:w="1304" w:type="dxa"/>
            <w:tcBorders>
              <w:top w:val="nil"/>
              <w:left w:val="nil"/>
              <w:bottom w:val="single" w:sz="8" w:space="0" w:color="BCD6EE"/>
              <w:right w:val="single" w:sz="8" w:space="0" w:color="BCD6EE"/>
            </w:tcBorders>
            <w:shd w:val="clear" w:color="auto" w:fill="auto"/>
            <w:vAlign w:val="center"/>
          </w:tcPr>
          <w:p w14:paraId="7765DFD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19.540.120</w:t>
            </w:r>
          </w:p>
        </w:tc>
        <w:tc>
          <w:tcPr>
            <w:tcW w:w="1304" w:type="dxa"/>
            <w:tcBorders>
              <w:top w:val="nil"/>
              <w:left w:val="nil"/>
              <w:bottom w:val="single" w:sz="8" w:space="0" w:color="BCD6EE"/>
              <w:right w:val="single" w:sz="8" w:space="0" w:color="BCD6EE"/>
            </w:tcBorders>
            <w:shd w:val="clear" w:color="auto" w:fill="auto"/>
            <w:vAlign w:val="center"/>
          </w:tcPr>
          <w:p w14:paraId="1A49461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20.539.696</w:t>
            </w:r>
          </w:p>
        </w:tc>
        <w:tc>
          <w:tcPr>
            <w:tcW w:w="1304" w:type="dxa"/>
            <w:tcBorders>
              <w:top w:val="nil"/>
              <w:left w:val="nil"/>
              <w:bottom w:val="single" w:sz="8" w:space="0" w:color="BCD6EE"/>
              <w:right w:val="single" w:sz="8" w:space="0" w:color="BCD6EE"/>
            </w:tcBorders>
            <w:shd w:val="clear" w:color="auto" w:fill="auto"/>
            <w:vAlign w:val="center"/>
          </w:tcPr>
          <w:p w14:paraId="081304D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21.983.507</w:t>
            </w:r>
          </w:p>
        </w:tc>
        <w:tc>
          <w:tcPr>
            <w:tcW w:w="1304" w:type="dxa"/>
            <w:tcBorders>
              <w:top w:val="nil"/>
              <w:left w:val="nil"/>
              <w:bottom w:val="single" w:sz="8" w:space="0" w:color="BCD6EE"/>
              <w:right w:val="single" w:sz="8" w:space="0" w:color="BCD6EE"/>
            </w:tcBorders>
            <w:shd w:val="clear" w:color="auto" w:fill="auto"/>
            <w:vAlign w:val="center"/>
          </w:tcPr>
          <w:p w14:paraId="5CACE10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23.179.128</w:t>
            </w:r>
          </w:p>
        </w:tc>
        <w:tc>
          <w:tcPr>
            <w:tcW w:w="1304" w:type="dxa"/>
            <w:tcBorders>
              <w:top w:val="nil"/>
              <w:left w:val="nil"/>
              <w:bottom w:val="single" w:sz="8" w:space="0" w:color="BCD6EE"/>
              <w:right w:val="single" w:sz="8" w:space="0" w:color="BCD6EE"/>
            </w:tcBorders>
            <w:shd w:val="clear" w:color="auto" w:fill="auto"/>
            <w:vAlign w:val="center"/>
          </w:tcPr>
          <w:p w14:paraId="6F41A33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22.255.014</w:t>
            </w:r>
          </w:p>
        </w:tc>
      </w:tr>
      <w:tr w:rsidR="00E440CE" w:rsidRPr="00ED7B99" w14:paraId="01721C79" w14:textId="77777777">
        <w:trPr>
          <w:trHeight w:val="315"/>
        </w:trPr>
        <w:tc>
          <w:tcPr>
            <w:tcW w:w="2708" w:type="dxa"/>
            <w:tcBorders>
              <w:top w:val="nil"/>
              <w:left w:val="single" w:sz="8" w:space="0" w:color="BCD6EE"/>
              <w:bottom w:val="single" w:sz="8" w:space="0" w:color="BCD6EE"/>
              <w:right w:val="single" w:sz="8" w:space="0" w:color="BCD6EE"/>
            </w:tcBorders>
            <w:shd w:val="clear" w:color="auto" w:fill="auto"/>
            <w:vAlign w:val="center"/>
          </w:tcPr>
          <w:p w14:paraId="198E5B0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 xml:space="preserve">Bruto domaći proizvod </w:t>
            </w:r>
          </w:p>
          <w:p w14:paraId="05475C1D"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(000 USD)</w:t>
            </w:r>
          </w:p>
        </w:tc>
        <w:tc>
          <w:tcPr>
            <w:tcW w:w="1304" w:type="dxa"/>
            <w:tcBorders>
              <w:top w:val="nil"/>
              <w:left w:val="nil"/>
              <w:bottom w:val="single" w:sz="8" w:space="0" w:color="BCD6EE"/>
              <w:right w:val="single" w:sz="8" w:space="0" w:color="BCD6EE"/>
            </w:tcBorders>
            <w:shd w:val="clear" w:color="auto" w:fill="auto"/>
            <w:vAlign w:val="center"/>
          </w:tcPr>
          <w:p w14:paraId="1DA570F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11.052.104</w:t>
            </w:r>
          </w:p>
        </w:tc>
        <w:tc>
          <w:tcPr>
            <w:tcW w:w="1304" w:type="dxa"/>
            <w:tcBorders>
              <w:top w:val="nil"/>
              <w:left w:val="nil"/>
              <w:bottom w:val="single" w:sz="8" w:space="0" w:color="BCD6EE"/>
              <w:right w:val="single" w:sz="8" w:space="0" w:color="BCD6EE"/>
            </w:tcBorders>
            <w:shd w:val="clear" w:color="auto" w:fill="auto"/>
            <w:vAlign w:val="center"/>
          </w:tcPr>
          <w:p w14:paraId="6EEBA8E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11.835.031</w:t>
            </w:r>
          </w:p>
        </w:tc>
        <w:tc>
          <w:tcPr>
            <w:tcW w:w="1304" w:type="dxa"/>
            <w:tcBorders>
              <w:top w:val="nil"/>
              <w:left w:val="nil"/>
              <w:bottom w:val="single" w:sz="8" w:space="0" w:color="BCD6EE"/>
              <w:right w:val="single" w:sz="8" w:space="0" w:color="BCD6EE"/>
            </w:tcBorders>
            <w:shd w:val="clear" w:color="auto" w:fill="auto"/>
            <w:vAlign w:val="center"/>
          </w:tcPr>
          <w:p w14:paraId="61BC1C81"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13.263.051</w:t>
            </w:r>
          </w:p>
        </w:tc>
        <w:tc>
          <w:tcPr>
            <w:tcW w:w="1304" w:type="dxa"/>
            <w:tcBorders>
              <w:top w:val="nil"/>
              <w:left w:val="nil"/>
              <w:bottom w:val="single" w:sz="8" w:space="0" w:color="BCD6EE"/>
              <w:right w:val="single" w:sz="8" w:space="0" w:color="BCD6EE"/>
            </w:tcBorders>
            <w:shd w:val="clear" w:color="auto" w:fill="auto"/>
            <w:vAlign w:val="center"/>
          </w:tcPr>
          <w:p w14:paraId="089E78A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13.266.442</w:t>
            </w:r>
          </w:p>
        </w:tc>
        <w:tc>
          <w:tcPr>
            <w:tcW w:w="1304" w:type="dxa"/>
            <w:tcBorders>
              <w:top w:val="nil"/>
              <w:left w:val="nil"/>
              <w:bottom w:val="single" w:sz="8" w:space="0" w:color="BCD6EE"/>
              <w:right w:val="single" w:sz="8" w:space="0" w:color="BCD6EE"/>
            </w:tcBorders>
            <w:shd w:val="clear" w:color="auto" w:fill="auto"/>
            <w:vAlign w:val="center"/>
          </w:tcPr>
          <w:p w14:paraId="42884955"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11.378.983</w:t>
            </w:r>
          </w:p>
        </w:tc>
      </w:tr>
      <w:tr w:rsidR="00E440CE" w:rsidRPr="00ED7B99" w14:paraId="2941F7C6" w14:textId="77777777">
        <w:trPr>
          <w:trHeight w:val="315"/>
        </w:trPr>
        <w:tc>
          <w:tcPr>
            <w:tcW w:w="2708" w:type="dxa"/>
            <w:tcBorders>
              <w:top w:val="nil"/>
              <w:left w:val="single" w:sz="8" w:space="0" w:color="BCD6EE"/>
              <w:bottom w:val="single" w:sz="8" w:space="0" w:color="BCD6EE"/>
              <w:right w:val="single" w:sz="8" w:space="0" w:color="BCD6EE"/>
            </w:tcBorders>
            <w:shd w:val="clear" w:color="auto" w:fill="auto"/>
            <w:vAlign w:val="center"/>
          </w:tcPr>
          <w:p w14:paraId="11BAF23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Stanovništvo u hilj./tis. (procjena)</w:t>
            </w:r>
          </w:p>
        </w:tc>
        <w:tc>
          <w:tcPr>
            <w:tcW w:w="1304" w:type="dxa"/>
            <w:tcBorders>
              <w:top w:val="nil"/>
              <w:left w:val="nil"/>
              <w:bottom w:val="single" w:sz="8" w:space="0" w:color="BCD6EE"/>
              <w:right w:val="single" w:sz="8" w:space="0" w:color="BCD6EE"/>
            </w:tcBorders>
            <w:shd w:val="clear" w:color="auto" w:fill="auto"/>
            <w:vAlign w:val="center"/>
          </w:tcPr>
          <w:p w14:paraId="4BEB4B40"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2.206</w:t>
            </w:r>
          </w:p>
        </w:tc>
        <w:tc>
          <w:tcPr>
            <w:tcW w:w="1304" w:type="dxa"/>
            <w:tcBorders>
              <w:top w:val="nil"/>
              <w:left w:val="nil"/>
              <w:bottom w:val="single" w:sz="8" w:space="0" w:color="BCD6EE"/>
              <w:right w:val="single" w:sz="8" w:space="0" w:color="BCD6EE"/>
            </w:tcBorders>
            <w:shd w:val="clear" w:color="auto" w:fill="auto"/>
            <w:vAlign w:val="center"/>
          </w:tcPr>
          <w:p w14:paraId="1CB2B3B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2.201</w:t>
            </w:r>
          </w:p>
        </w:tc>
        <w:tc>
          <w:tcPr>
            <w:tcW w:w="1304" w:type="dxa"/>
            <w:tcBorders>
              <w:top w:val="nil"/>
              <w:left w:val="nil"/>
              <w:bottom w:val="single" w:sz="8" w:space="0" w:color="BCD6EE"/>
              <w:right w:val="single" w:sz="8" w:space="0" w:color="BCD6EE"/>
            </w:tcBorders>
            <w:shd w:val="clear" w:color="auto" w:fill="auto"/>
            <w:vAlign w:val="center"/>
          </w:tcPr>
          <w:p w14:paraId="0EA59DB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2.196</w:t>
            </w:r>
          </w:p>
        </w:tc>
        <w:tc>
          <w:tcPr>
            <w:tcW w:w="1304" w:type="dxa"/>
            <w:tcBorders>
              <w:top w:val="nil"/>
              <w:left w:val="nil"/>
              <w:bottom w:val="single" w:sz="8" w:space="0" w:color="BCD6EE"/>
              <w:right w:val="single" w:sz="8" w:space="0" w:color="BCD6EE"/>
            </w:tcBorders>
            <w:shd w:val="clear" w:color="auto" w:fill="auto"/>
            <w:vAlign w:val="center"/>
          </w:tcPr>
          <w:p w14:paraId="02A069B3"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2.190</w:t>
            </w:r>
          </w:p>
        </w:tc>
        <w:tc>
          <w:tcPr>
            <w:tcW w:w="1304" w:type="dxa"/>
            <w:tcBorders>
              <w:top w:val="nil"/>
              <w:left w:val="nil"/>
              <w:bottom w:val="single" w:sz="8" w:space="0" w:color="BCD6EE"/>
              <w:right w:val="single" w:sz="8" w:space="0" w:color="BCD6EE"/>
            </w:tcBorders>
            <w:shd w:val="clear" w:color="auto" w:fill="auto"/>
            <w:vAlign w:val="center"/>
          </w:tcPr>
          <w:p w14:paraId="5F03A0F0"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2.185</w:t>
            </w:r>
          </w:p>
        </w:tc>
      </w:tr>
      <w:tr w:rsidR="00E440CE" w:rsidRPr="00ED7B99" w14:paraId="35A2366D" w14:textId="77777777">
        <w:trPr>
          <w:trHeight w:val="315"/>
        </w:trPr>
        <w:tc>
          <w:tcPr>
            <w:tcW w:w="2708" w:type="dxa"/>
            <w:tcBorders>
              <w:top w:val="nil"/>
              <w:left w:val="single" w:sz="8" w:space="0" w:color="BCD6EE"/>
              <w:bottom w:val="single" w:sz="8" w:space="0" w:color="BCD6EE"/>
              <w:right w:val="single" w:sz="8" w:space="0" w:color="BCD6EE"/>
            </w:tcBorders>
            <w:shd w:val="clear" w:color="auto" w:fill="auto"/>
            <w:vAlign w:val="center"/>
          </w:tcPr>
          <w:p w14:paraId="62CB3694"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Bruto domaći proizvod po stanovniku, KM</w:t>
            </w:r>
          </w:p>
        </w:tc>
        <w:tc>
          <w:tcPr>
            <w:tcW w:w="1304" w:type="dxa"/>
            <w:tcBorders>
              <w:top w:val="nil"/>
              <w:left w:val="nil"/>
              <w:bottom w:val="single" w:sz="8" w:space="0" w:color="BCD6EE"/>
              <w:right w:val="single" w:sz="8" w:space="0" w:color="BCD6EE"/>
            </w:tcBorders>
            <w:shd w:val="clear" w:color="auto" w:fill="auto"/>
            <w:vAlign w:val="center"/>
          </w:tcPr>
          <w:p w14:paraId="28F9A8D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8.858</w:t>
            </w:r>
          </w:p>
        </w:tc>
        <w:tc>
          <w:tcPr>
            <w:tcW w:w="1304" w:type="dxa"/>
            <w:tcBorders>
              <w:top w:val="nil"/>
              <w:left w:val="nil"/>
              <w:bottom w:val="single" w:sz="8" w:space="0" w:color="BCD6EE"/>
              <w:right w:val="single" w:sz="8" w:space="0" w:color="BCD6EE"/>
            </w:tcBorders>
            <w:shd w:val="clear" w:color="auto" w:fill="auto"/>
            <w:vAlign w:val="center"/>
          </w:tcPr>
          <w:p w14:paraId="0CCE976C"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9.332</w:t>
            </w:r>
          </w:p>
        </w:tc>
        <w:tc>
          <w:tcPr>
            <w:tcW w:w="1304" w:type="dxa"/>
            <w:tcBorders>
              <w:top w:val="nil"/>
              <w:left w:val="nil"/>
              <w:bottom w:val="single" w:sz="8" w:space="0" w:color="BCD6EE"/>
              <w:right w:val="single" w:sz="8" w:space="0" w:color="BCD6EE"/>
            </w:tcBorders>
            <w:shd w:val="clear" w:color="auto" w:fill="auto"/>
            <w:vAlign w:val="center"/>
          </w:tcPr>
          <w:p w14:paraId="6C93CBDF"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10.011</w:t>
            </w:r>
          </w:p>
        </w:tc>
        <w:tc>
          <w:tcPr>
            <w:tcW w:w="1304" w:type="dxa"/>
            <w:tcBorders>
              <w:top w:val="nil"/>
              <w:left w:val="nil"/>
              <w:bottom w:val="single" w:sz="8" w:space="0" w:color="BCD6EE"/>
              <w:right w:val="single" w:sz="8" w:space="0" w:color="BCD6EE"/>
            </w:tcBorders>
            <w:shd w:val="clear" w:color="auto" w:fill="auto"/>
            <w:vAlign w:val="center"/>
          </w:tcPr>
          <w:p w14:paraId="7D01085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10.584</w:t>
            </w:r>
          </w:p>
        </w:tc>
        <w:tc>
          <w:tcPr>
            <w:tcW w:w="1304" w:type="dxa"/>
            <w:tcBorders>
              <w:top w:val="nil"/>
              <w:left w:val="nil"/>
              <w:bottom w:val="single" w:sz="8" w:space="0" w:color="BCD6EE"/>
              <w:right w:val="single" w:sz="8" w:space="0" w:color="BCD6EE"/>
            </w:tcBorders>
            <w:shd w:val="clear" w:color="auto" w:fill="auto"/>
            <w:vAlign w:val="center"/>
          </w:tcPr>
          <w:p w14:paraId="2BAA0C2F"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10.187</w:t>
            </w:r>
          </w:p>
        </w:tc>
      </w:tr>
      <w:tr w:rsidR="00E440CE" w:rsidRPr="00ED7B99" w14:paraId="34B5255E" w14:textId="77777777">
        <w:trPr>
          <w:trHeight w:val="315"/>
        </w:trPr>
        <w:tc>
          <w:tcPr>
            <w:tcW w:w="2708" w:type="dxa"/>
            <w:tcBorders>
              <w:top w:val="nil"/>
              <w:left w:val="single" w:sz="8" w:space="0" w:color="BCD6EE"/>
              <w:bottom w:val="single" w:sz="8" w:space="0" w:color="BCD6EE"/>
              <w:right w:val="single" w:sz="8" w:space="0" w:color="BCD6EE"/>
            </w:tcBorders>
            <w:shd w:val="clear" w:color="auto" w:fill="auto"/>
            <w:vAlign w:val="center"/>
          </w:tcPr>
          <w:p w14:paraId="2B0EB4C9"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Bruto domaći proizvod po stanovniku, USD</w:t>
            </w:r>
          </w:p>
        </w:tc>
        <w:tc>
          <w:tcPr>
            <w:tcW w:w="1304" w:type="dxa"/>
            <w:tcBorders>
              <w:top w:val="nil"/>
              <w:left w:val="nil"/>
              <w:bottom w:val="single" w:sz="8" w:space="0" w:color="BCD6EE"/>
              <w:right w:val="single" w:sz="8" w:space="0" w:color="BCD6EE"/>
            </w:tcBorders>
            <w:shd w:val="clear" w:color="auto" w:fill="auto"/>
            <w:vAlign w:val="center"/>
          </w:tcPr>
          <w:p w14:paraId="6E3A5DE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5.010</w:t>
            </w:r>
          </w:p>
        </w:tc>
        <w:tc>
          <w:tcPr>
            <w:tcW w:w="1304" w:type="dxa"/>
            <w:tcBorders>
              <w:top w:val="nil"/>
              <w:left w:val="nil"/>
              <w:bottom w:val="single" w:sz="8" w:space="0" w:color="BCD6EE"/>
              <w:right w:val="single" w:sz="8" w:space="0" w:color="BCD6EE"/>
            </w:tcBorders>
            <w:shd w:val="clear" w:color="auto" w:fill="auto"/>
            <w:vAlign w:val="center"/>
          </w:tcPr>
          <w:p w14:paraId="503173C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5.377</w:t>
            </w:r>
          </w:p>
        </w:tc>
        <w:tc>
          <w:tcPr>
            <w:tcW w:w="1304" w:type="dxa"/>
            <w:tcBorders>
              <w:top w:val="nil"/>
              <w:left w:val="nil"/>
              <w:bottom w:val="single" w:sz="8" w:space="0" w:color="BCD6EE"/>
              <w:right w:val="single" w:sz="8" w:space="0" w:color="BCD6EE"/>
            </w:tcBorders>
            <w:shd w:val="clear" w:color="auto" w:fill="auto"/>
            <w:vAlign w:val="center"/>
          </w:tcPr>
          <w:p w14:paraId="1433AC15"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6.040</w:t>
            </w:r>
          </w:p>
        </w:tc>
        <w:tc>
          <w:tcPr>
            <w:tcW w:w="1304" w:type="dxa"/>
            <w:tcBorders>
              <w:top w:val="nil"/>
              <w:left w:val="nil"/>
              <w:bottom w:val="single" w:sz="8" w:space="0" w:color="BCD6EE"/>
              <w:right w:val="single" w:sz="8" w:space="0" w:color="BCD6EE"/>
            </w:tcBorders>
            <w:shd w:val="clear" w:color="auto" w:fill="auto"/>
            <w:vAlign w:val="center"/>
          </w:tcPr>
          <w:p w14:paraId="1D5D4EB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6.057</w:t>
            </w:r>
          </w:p>
        </w:tc>
        <w:tc>
          <w:tcPr>
            <w:tcW w:w="1304" w:type="dxa"/>
            <w:tcBorders>
              <w:top w:val="nil"/>
              <w:left w:val="nil"/>
              <w:bottom w:val="single" w:sz="8" w:space="0" w:color="BCD6EE"/>
              <w:right w:val="single" w:sz="8" w:space="0" w:color="BCD6EE"/>
            </w:tcBorders>
            <w:shd w:val="clear" w:color="auto" w:fill="auto"/>
            <w:vAlign w:val="center"/>
          </w:tcPr>
          <w:p w14:paraId="1FA2697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5.934</w:t>
            </w:r>
          </w:p>
        </w:tc>
      </w:tr>
      <w:tr w:rsidR="00E440CE" w:rsidRPr="00ED7B99" w14:paraId="06A70674" w14:textId="77777777">
        <w:trPr>
          <w:trHeight w:val="315"/>
        </w:trPr>
        <w:tc>
          <w:tcPr>
            <w:tcW w:w="2708" w:type="dxa"/>
            <w:tcBorders>
              <w:top w:val="nil"/>
              <w:left w:val="single" w:sz="8" w:space="0" w:color="BCD6EE"/>
              <w:bottom w:val="single" w:sz="8" w:space="0" w:color="BCD6EE"/>
              <w:right w:val="single" w:sz="8" w:space="0" w:color="BCD6EE"/>
            </w:tcBorders>
            <w:shd w:val="clear" w:color="auto" w:fill="auto"/>
            <w:vAlign w:val="center"/>
          </w:tcPr>
          <w:p w14:paraId="24675BE5"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Bruto domaći proizvod po stanovniku, EUR</w:t>
            </w:r>
          </w:p>
        </w:tc>
        <w:tc>
          <w:tcPr>
            <w:tcW w:w="1304" w:type="dxa"/>
            <w:tcBorders>
              <w:top w:val="nil"/>
              <w:left w:val="nil"/>
              <w:bottom w:val="single" w:sz="8" w:space="0" w:color="BCD6EE"/>
              <w:right w:val="single" w:sz="8" w:space="0" w:color="BCD6EE"/>
            </w:tcBorders>
            <w:shd w:val="clear" w:color="auto" w:fill="auto"/>
            <w:vAlign w:val="center"/>
          </w:tcPr>
          <w:p w14:paraId="2C3D2461"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4.528</w:t>
            </w:r>
          </w:p>
        </w:tc>
        <w:tc>
          <w:tcPr>
            <w:tcW w:w="1304" w:type="dxa"/>
            <w:tcBorders>
              <w:top w:val="nil"/>
              <w:left w:val="nil"/>
              <w:bottom w:val="single" w:sz="8" w:space="0" w:color="BCD6EE"/>
              <w:right w:val="single" w:sz="8" w:space="0" w:color="BCD6EE"/>
            </w:tcBorders>
            <w:shd w:val="clear" w:color="auto" w:fill="auto"/>
            <w:vAlign w:val="center"/>
          </w:tcPr>
          <w:p w14:paraId="40A95BF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4.771</w:t>
            </w:r>
          </w:p>
        </w:tc>
        <w:tc>
          <w:tcPr>
            <w:tcW w:w="1304" w:type="dxa"/>
            <w:tcBorders>
              <w:top w:val="nil"/>
              <w:left w:val="nil"/>
              <w:bottom w:val="single" w:sz="8" w:space="0" w:color="BCD6EE"/>
              <w:right w:val="single" w:sz="8" w:space="0" w:color="BCD6EE"/>
            </w:tcBorders>
            <w:shd w:val="clear" w:color="auto" w:fill="auto"/>
            <w:vAlign w:val="center"/>
          </w:tcPr>
          <w:p w14:paraId="3C397AC1"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5.118</w:t>
            </w:r>
          </w:p>
        </w:tc>
        <w:tc>
          <w:tcPr>
            <w:tcW w:w="1304" w:type="dxa"/>
            <w:tcBorders>
              <w:top w:val="nil"/>
              <w:left w:val="nil"/>
              <w:bottom w:val="single" w:sz="8" w:space="0" w:color="BCD6EE"/>
              <w:right w:val="single" w:sz="8" w:space="0" w:color="BCD6EE"/>
            </w:tcBorders>
            <w:shd w:val="clear" w:color="auto" w:fill="auto"/>
            <w:vAlign w:val="center"/>
          </w:tcPr>
          <w:p w14:paraId="0427132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5.411</w:t>
            </w:r>
          </w:p>
        </w:tc>
        <w:tc>
          <w:tcPr>
            <w:tcW w:w="1304" w:type="dxa"/>
            <w:tcBorders>
              <w:top w:val="nil"/>
              <w:left w:val="nil"/>
              <w:bottom w:val="single" w:sz="8" w:space="0" w:color="BCD6EE"/>
              <w:right w:val="single" w:sz="8" w:space="0" w:color="BCD6EE"/>
            </w:tcBorders>
            <w:shd w:val="clear" w:color="auto" w:fill="auto"/>
            <w:vAlign w:val="center"/>
          </w:tcPr>
          <w:p w14:paraId="6A16C59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5.209</w:t>
            </w:r>
          </w:p>
        </w:tc>
      </w:tr>
      <w:tr w:rsidR="00E440CE" w:rsidRPr="00ED7B99" w14:paraId="4D952889" w14:textId="77777777">
        <w:trPr>
          <w:trHeight w:val="315"/>
        </w:trPr>
        <w:tc>
          <w:tcPr>
            <w:tcW w:w="2708" w:type="dxa"/>
            <w:tcBorders>
              <w:top w:val="nil"/>
              <w:left w:val="single" w:sz="8" w:space="0" w:color="BCD6EE"/>
              <w:bottom w:val="single" w:sz="8" w:space="0" w:color="BCD6EE"/>
              <w:right w:val="single" w:sz="8" w:space="0" w:color="BCD6EE"/>
            </w:tcBorders>
            <w:shd w:val="clear" w:color="auto" w:fill="auto"/>
            <w:vAlign w:val="center"/>
          </w:tcPr>
          <w:p w14:paraId="50AF4663"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Nominalni indeksi. prethodna godina = 100</w:t>
            </w:r>
          </w:p>
        </w:tc>
        <w:tc>
          <w:tcPr>
            <w:tcW w:w="1304" w:type="dxa"/>
            <w:tcBorders>
              <w:top w:val="nil"/>
              <w:left w:val="nil"/>
              <w:bottom w:val="single" w:sz="8" w:space="0" w:color="BCD6EE"/>
              <w:right w:val="single" w:sz="8" w:space="0" w:color="BCD6EE"/>
            </w:tcBorders>
            <w:shd w:val="clear" w:color="auto" w:fill="auto"/>
            <w:vAlign w:val="center"/>
          </w:tcPr>
          <w:p w14:paraId="6F2C314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104,60</w:t>
            </w:r>
          </w:p>
        </w:tc>
        <w:tc>
          <w:tcPr>
            <w:tcW w:w="1304" w:type="dxa"/>
            <w:tcBorders>
              <w:top w:val="nil"/>
              <w:left w:val="nil"/>
              <w:bottom w:val="single" w:sz="8" w:space="0" w:color="BCD6EE"/>
              <w:right w:val="single" w:sz="8" w:space="0" w:color="BCD6EE"/>
            </w:tcBorders>
            <w:shd w:val="clear" w:color="auto" w:fill="auto"/>
            <w:vAlign w:val="center"/>
          </w:tcPr>
          <w:p w14:paraId="0D6B97E3"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105,10</w:t>
            </w:r>
          </w:p>
        </w:tc>
        <w:tc>
          <w:tcPr>
            <w:tcW w:w="1304" w:type="dxa"/>
            <w:tcBorders>
              <w:top w:val="nil"/>
              <w:left w:val="nil"/>
              <w:bottom w:val="single" w:sz="8" w:space="0" w:color="BCD6EE"/>
              <w:right w:val="single" w:sz="8" w:space="0" w:color="BCD6EE"/>
            </w:tcBorders>
            <w:shd w:val="clear" w:color="auto" w:fill="auto"/>
            <w:vAlign w:val="center"/>
          </w:tcPr>
          <w:p w14:paraId="73AE955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107,00</w:t>
            </w:r>
          </w:p>
        </w:tc>
        <w:tc>
          <w:tcPr>
            <w:tcW w:w="1304" w:type="dxa"/>
            <w:tcBorders>
              <w:top w:val="nil"/>
              <w:left w:val="nil"/>
              <w:bottom w:val="single" w:sz="8" w:space="0" w:color="BCD6EE"/>
              <w:right w:val="single" w:sz="8" w:space="0" w:color="BCD6EE"/>
            </w:tcBorders>
            <w:shd w:val="clear" w:color="auto" w:fill="auto"/>
            <w:vAlign w:val="center"/>
          </w:tcPr>
          <w:p w14:paraId="0BA3F51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105,40</w:t>
            </w:r>
          </w:p>
        </w:tc>
        <w:tc>
          <w:tcPr>
            <w:tcW w:w="1304" w:type="dxa"/>
            <w:tcBorders>
              <w:top w:val="nil"/>
              <w:left w:val="nil"/>
              <w:bottom w:val="single" w:sz="8" w:space="0" w:color="BCD6EE"/>
              <w:right w:val="single" w:sz="8" w:space="0" w:color="BCD6EE"/>
            </w:tcBorders>
            <w:shd w:val="clear" w:color="auto" w:fill="auto"/>
            <w:vAlign w:val="center"/>
          </w:tcPr>
          <w:p w14:paraId="2BFE15C0"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96,00</w:t>
            </w:r>
          </w:p>
        </w:tc>
      </w:tr>
      <w:tr w:rsidR="00E440CE" w:rsidRPr="00ED7B99" w14:paraId="21F53E7B" w14:textId="77777777">
        <w:trPr>
          <w:trHeight w:val="315"/>
        </w:trPr>
        <w:tc>
          <w:tcPr>
            <w:tcW w:w="2708" w:type="dxa"/>
            <w:tcBorders>
              <w:top w:val="nil"/>
              <w:left w:val="single" w:sz="8" w:space="0" w:color="BCD6EE"/>
              <w:bottom w:val="single" w:sz="8" w:space="0" w:color="BCD6EE"/>
              <w:right w:val="single" w:sz="8" w:space="0" w:color="BCD6EE"/>
            </w:tcBorders>
            <w:shd w:val="clear" w:color="auto" w:fill="auto"/>
            <w:vAlign w:val="center"/>
          </w:tcPr>
          <w:p w14:paraId="6E40FC0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Godišnje stope realnog rasta, %</w:t>
            </w:r>
          </w:p>
        </w:tc>
        <w:tc>
          <w:tcPr>
            <w:tcW w:w="1304" w:type="dxa"/>
            <w:tcBorders>
              <w:top w:val="nil"/>
              <w:left w:val="nil"/>
              <w:bottom w:val="single" w:sz="8" w:space="0" w:color="BCD6EE"/>
              <w:right w:val="single" w:sz="8" w:space="0" w:color="BCD6EE"/>
            </w:tcBorders>
            <w:shd w:val="clear" w:color="auto" w:fill="auto"/>
            <w:vAlign w:val="center"/>
          </w:tcPr>
          <w:p w14:paraId="4E11F78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2,90</w:t>
            </w:r>
          </w:p>
        </w:tc>
        <w:tc>
          <w:tcPr>
            <w:tcW w:w="1304" w:type="dxa"/>
            <w:tcBorders>
              <w:top w:val="nil"/>
              <w:left w:val="nil"/>
              <w:bottom w:val="single" w:sz="8" w:space="0" w:color="BCD6EE"/>
              <w:right w:val="single" w:sz="8" w:space="0" w:color="BCD6EE"/>
            </w:tcBorders>
            <w:shd w:val="clear" w:color="auto" w:fill="auto"/>
            <w:vAlign w:val="center"/>
          </w:tcPr>
          <w:p w14:paraId="2251E57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3,20</w:t>
            </w:r>
          </w:p>
        </w:tc>
        <w:tc>
          <w:tcPr>
            <w:tcW w:w="1304" w:type="dxa"/>
            <w:tcBorders>
              <w:top w:val="nil"/>
              <w:left w:val="nil"/>
              <w:bottom w:val="single" w:sz="8" w:space="0" w:color="BCD6EE"/>
              <w:right w:val="single" w:sz="8" w:space="0" w:color="BCD6EE"/>
            </w:tcBorders>
            <w:shd w:val="clear" w:color="auto" w:fill="auto"/>
            <w:vAlign w:val="center"/>
          </w:tcPr>
          <w:p w14:paraId="3ADCBD8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3,80</w:t>
            </w:r>
          </w:p>
        </w:tc>
        <w:tc>
          <w:tcPr>
            <w:tcW w:w="1304" w:type="dxa"/>
            <w:tcBorders>
              <w:top w:val="nil"/>
              <w:left w:val="nil"/>
              <w:bottom w:val="single" w:sz="8" w:space="0" w:color="BCD6EE"/>
              <w:right w:val="single" w:sz="8" w:space="0" w:color="BCD6EE"/>
            </w:tcBorders>
            <w:shd w:val="clear" w:color="auto" w:fill="auto"/>
            <w:vAlign w:val="center"/>
          </w:tcPr>
          <w:p w14:paraId="415FBFD5"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2,80</w:t>
            </w:r>
          </w:p>
        </w:tc>
        <w:tc>
          <w:tcPr>
            <w:tcW w:w="1304" w:type="dxa"/>
            <w:tcBorders>
              <w:top w:val="nil"/>
              <w:left w:val="nil"/>
              <w:bottom w:val="single" w:sz="8" w:space="0" w:color="BCD6EE"/>
              <w:right w:val="single" w:sz="8" w:space="0" w:color="BCD6EE"/>
            </w:tcBorders>
            <w:shd w:val="clear" w:color="auto" w:fill="auto"/>
            <w:vAlign w:val="center"/>
          </w:tcPr>
          <w:p w14:paraId="114F156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-3,60</w:t>
            </w:r>
          </w:p>
        </w:tc>
      </w:tr>
    </w:tbl>
    <w:p w14:paraId="586AA649" w14:textId="77777777" w:rsidR="00E440CE" w:rsidRPr="00ED7B99" w:rsidRDefault="003422A9">
      <w:pPr>
        <w:rPr>
          <w:rFonts w:asciiTheme="majorHAnsi" w:hAnsiTheme="majorHAnsi" w:cstheme="majorHAnsi"/>
          <w:i/>
          <w:sz w:val="18"/>
          <w:szCs w:val="18"/>
        </w:rPr>
      </w:pPr>
      <w:r w:rsidRPr="00ED7B99">
        <w:rPr>
          <w:rFonts w:asciiTheme="majorHAnsi" w:hAnsiTheme="majorHAnsi" w:cstheme="majorHAnsi"/>
          <w:i/>
          <w:sz w:val="18"/>
          <w:szCs w:val="18"/>
        </w:rPr>
        <w:t xml:space="preserve">Izvor: Federalni zavod za statistiku, Federacija BiH u brojkama </w:t>
      </w:r>
    </w:p>
    <w:p w14:paraId="16F9B756" w14:textId="77777777" w:rsidR="00E440CE" w:rsidRPr="00ED7B99" w:rsidRDefault="003422A9">
      <w:pPr>
        <w:rPr>
          <w:rFonts w:asciiTheme="majorHAnsi" w:hAnsiTheme="majorHAnsi" w:cstheme="majorHAnsi"/>
          <w:b/>
        </w:rPr>
      </w:pPr>
      <w:r w:rsidRPr="00ED7B99">
        <w:rPr>
          <w:rFonts w:asciiTheme="majorHAnsi" w:hAnsiTheme="majorHAnsi" w:cstheme="majorHAnsi"/>
          <w:b/>
        </w:rPr>
        <w:t>Obim industrijske proizvodnje</w:t>
      </w:r>
    </w:p>
    <w:p w14:paraId="0F0E65BE" w14:textId="77777777" w:rsidR="00026C1B" w:rsidRDefault="003422A9">
      <w:pPr>
        <w:shd w:val="clear" w:color="auto" w:fill="FFFFFF"/>
        <w:jc w:val="both"/>
        <w:rPr>
          <w:rFonts w:asciiTheme="majorHAnsi" w:hAnsiTheme="majorHAnsi" w:cstheme="majorHAnsi"/>
        </w:rPr>
      </w:pPr>
      <w:r w:rsidRPr="00ED7B99">
        <w:rPr>
          <w:rFonts w:asciiTheme="majorHAnsi" w:hAnsiTheme="majorHAnsi" w:cstheme="majorHAnsi"/>
        </w:rPr>
        <w:t>Prema statističkim podacima u 2020. godini u FBiH je došlo do pada ukupne industrijske proizvodnje za 5,8% u odnosu na 2019. godinu, ali se 2021. godine uočava oporavak, te je došlo do rasta ukupne in</w:t>
      </w:r>
      <w:r w:rsidR="00026C1B">
        <w:rPr>
          <w:rFonts w:asciiTheme="majorHAnsi" w:hAnsiTheme="majorHAnsi" w:cstheme="majorHAnsi"/>
        </w:rPr>
        <w:t>d</w:t>
      </w:r>
      <w:r w:rsidRPr="00ED7B99">
        <w:rPr>
          <w:rFonts w:asciiTheme="majorHAnsi" w:hAnsiTheme="majorHAnsi" w:cstheme="majorHAnsi"/>
        </w:rPr>
        <w:t xml:space="preserve">ustrijske proizvodnje za 9.8% u odnosu na pandemijsku godinu. </w:t>
      </w:r>
    </w:p>
    <w:p w14:paraId="671E9F45" w14:textId="77777777" w:rsidR="00026C1B" w:rsidRDefault="003422A9">
      <w:pPr>
        <w:shd w:val="clear" w:color="auto" w:fill="FFFFFF"/>
        <w:jc w:val="both"/>
        <w:rPr>
          <w:rFonts w:asciiTheme="majorHAnsi" w:hAnsiTheme="majorHAnsi" w:cstheme="majorHAnsi"/>
        </w:rPr>
      </w:pPr>
      <w:r w:rsidRPr="00ED7B99">
        <w:rPr>
          <w:rFonts w:asciiTheme="majorHAnsi" w:hAnsiTheme="majorHAnsi" w:cstheme="majorHAnsi"/>
        </w:rPr>
        <w:t>Prema podcima Federalnog zavoda za programiranje razvoja, struktura industrijske proizvodnje se u 2021. godini neznatno promijenila u odnosu na 2020. godinu tako da je i dalje najveća zastupljenost prerađivačke industrij</w:t>
      </w:r>
      <w:r w:rsidR="00026C1B">
        <w:rPr>
          <w:rFonts w:asciiTheme="majorHAnsi" w:hAnsiTheme="majorHAnsi" w:cstheme="majorHAnsi"/>
        </w:rPr>
        <w:t>e</w:t>
      </w:r>
      <w:r w:rsidRPr="00ED7B99">
        <w:rPr>
          <w:rFonts w:asciiTheme="majorHAnsi" w:hAnsiTheme="majorHAnsi" w:cstheme="majorHAnsi"/>
        </w:rPr>
        <w:t xml:space="preserve"> (72,8%), proizvodnje električne energije (17,3%) i rudarstva (9,9%). Prema istom izvoru, najveći rast industrijske proizvodnje u FBiH u 2021. u odnosu na 2020. godinu ostvaren je u području prerađivačke industrije u oblasti proizvodnje gotovih metalnih proizvoda, osim mašina i opreme za 27,3%, proizvodnji motornih vozila, prikolica i poluprikolica za 25,2% i proizvodnji koksa i rafinisanih naftnih proizvoda za 24,0%. </w:t>
      </w:r>
    </w:p>
    <w:p w14:paraId="04FB0F06" w14:textId="3661F5C7" w:rsidR="00E440CE" w:rsidRPr="00ED7B99" w:rsidRDefault="003422A9">
      <w:pPr>
        <w:shd w:val="clear" w:color="auto" w:fill="FFFFFF"/>
        <w:jc w:val="both"/>
        <w:rPr>
          <w:rFonts w:asciiTheme="majorHAnsi" w:hAnsiTheme="majorHAnsi" w:cstheme="majorHAnsi"/>
        </w:rPr>
      </w:pPr>
      <w:r w:rsidRPr="00ED7B99">
        <w:rPr>
          <w:rFonts w:asciiTheme="majorHAnsi" w:hAnsiTheme="majorHAnsi" w:cstheme="majorHAnsi"/>
        </w:rPr>
        <w:t>Najveći pad ostvaren je u proizvodnji ostalih prevoznih sredstava za 26,7%, proizvodnji odjeće za 14,7% i u proizvodnji uglja i lignita za 10,9% u odnosu na 2020. godinu.</w:t>
      </w:r>
    </w:p>
    <w:p w14:paraId="19D084A3" w14:textId="430CB231" w:rsidR="00E440CE" w:rsidRPr="00026C1B" w:rsidRDefault="003422A9" w:rsidP="00026C1B">
      <w:pPr>
        <w:shd w:val="clear" w:color="auto" w:fill="FFFFFF"/>
        <w:jc w:val="both"/>
        <w:rPr>
          <w:rFonts w:asciiTheme="majorHAnsi" w:hAnsiTheme="majorHAnsi" w:cstheme="majorHAnsi"/>
        </w:rPr>
      </w:pPr>
      <w:r w:rsidRPr="00ED7B99">
        <w:rPr>
          <w:rFonts w:asciiTheme="majorHAnsi" w:hAnsiTheme="majorHAnsi" w:cstheme="majorHAnsi"/>
        </w:rPr>
        <w:lastRenderedPageBreak/>
        <w:t>U 2021. godini bilježi se porast industrij</w:t>
      </w:r>
      <w:r w:rsidR="00026C1B">
        <w:rPr>
          <w:rFonts w:asciiTheme="majorHAnsi" w:hAnsiTheme="majorHAnsi" w:cstheme="majorHAnsi"/>
        </w:rPr>
        <w:t>s</w:t>
      </w:r>
      <w:r w:rsidRPr="00ED7B99">
        <w:rPr>
          <w:rFonts w:asciiTheme="majorHAnsi" w:hAnsiTheme="majorHAnsi" w:cstheme="majorHAnsi"/>
        </w:rPr>
        <w:t>ke proizvodnje u svim kantonima Federacije BiH, najviše u Hercegovačko-neretvanskom kantonu, Srednjebosanskom i Bosansko-podrinjskom kantonu te Unsko Sanskom kantonu (Tabela 3.).</w:t>
      </w:r>
    </w:p>
    <w:p w14:paraId="558E5B21" w14:textId="74A82593"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3</w:t>
      </w:r>
      <w:r w:rsidR="0054018A" w:rsidRPr="00ED7B99">
        <w:rPr>
          <w:rFonts w:asciiTheme="majorHAnsi" w:hAnsiTheme="majorHAnsi" w:cstheme="majorHAnsi"/>
        </w:rPr>
        <w:fldChar w:fldCharType="end"/>
      </w:r>
      <w:r w:rsidRPr="00ED7B99">
        <w:rPr>
          <w:rFonts w:asciiTheme="majorHAnsi" w:hAnsiTheme="majorHAnsi" w:cstheme="majorHAnsi"/>
        </w:rPr>
        <w:t>. Indeksi industrijske proizvodnje u FBiH u periodu 2016.-2021. po kantonima</w:t>
      </w:r>
    </w:p>
    <w:tbl>
      <w:tblPr>
        <w:tblStyle w:val="a0"/>
        <w:tblW w:w="9220" w:type="dxa"/>
        <w:tblInd w:w="94" w:type="dxa"/>
        <w:tblLayout w:type="fixed"/>
        <w:tblLook w:val="0400" w:firstRow="0" w:lastRow="0" w:firstColumn="0" w:lastColumn="0" w:noHBand="0" w:noVBand="1"/>
      </w:tblPr>
      <w:tblGrid>
        <w:gridCol w:w="2920"/>
        <w:gridCol w:w="1260"/>
        <w:gridCol w:w="1260"/>
        <w:gridCol w:w="1260"/>
        <w:gridCol w:w="1260"/>
        <w:gridCol w:w="1260"/>
      </w:tblGrid>
      <w:tr w:rsidR="00E440CE" w:rsidRPr="00ED7B99" w14:paraId="02CC1859" w14:textId="77777777" w:rsidTr="00683004">
        <w:trPr>
          <w:trHeight w:val="315"/>
        </w:trPr>
        <w:tc>
          <w:tcPr>
            <w:tcW w:w="2920" w:type="dxa"/>
            <w:tcBorders>
              <w:top w:val="single" w:sz="8" w:space="0" w:color="BCD6EE"/>
              <w:left w:val="single" w:sz="8" w:space="0" w:color="BCD6EE"/>
              <w:bottom w:val="single" w:sz="8" w:space="0" w:color="BCD6EE"/>
              <w:right w:val="single" w:sz="8" w:space="0" w:color="BCD6EE"/>
            </w:tcBorders>
            <w:shd w:val="clear" w:color="auto" w:fill="BCD9DE" w:themeFill="accent5" w:themeFillTint="66"/>
            <w:vAlign w:val="center"/>
          </w:tcPr>
          <w:p w14:paraId="6F7D13B7"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w:t>
            </w:r>
          </w:p>
        </w:tc>
        <w:tc>
          <w:tcPr>
            <w:tcW w:w="6300" w:type="dxa"/>
            <w:gridSpan w:val="5"/>
            <w:tcBorders>
              <w:top w:val="single" w:sz="8" w:space="0" w:color="BCD6EE"/>
              <w:left w:val="nil"/>
              <w:bottom w:val="single" w:sz="8" w:space="0" w:color="BCD6EE"/>
              <w:right w:val="single" w:sz="8" w:space="0" w:color="BCD6EE"/>
            </w:tcBorders>
            <w:shd w:val="clear" w:color="auto" w:fill="BCD9DE" w:themeFill="accent5" w:themeFillTint="66"/>
            <w:vAlign w:val="center"/>
          </w:tcPr>
          <w:p w14:paraId="2C6A3DA8"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Izvorni indeksi industrijske proizvodnje po kantonima FBiH</w:t>
            </w:r>
          </w:p>
        </w:tc>
      </w:tr>
      <w:tr w:rsidR="00E440CE" w:rsidRPr="00ED7B99" w14:paraId="1F9E1821"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6ACEB84A"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1</w:t>
            </w:r>
          </w:p>
        </w:tc>
        <w:tc>
          <w:tcPr>
            <w:tcW w:w="1260" w:type="dxa"/>
            <w:tcBorders>
              <w:top w:val="nil"/>
              <w:left w:val="nil"/>
              <w:bottom w:val="single" w:sz="8" w:space="0" w:color="BCD6EE"/>
              <w:right w:val="single" w:sz="8" w:space="0" w:color="BCD6EE"/>
            </w:tcBorders>
            <w:shd w:val="clear" w:color="auto" w:fill="auto"/>
            <w:vAlign w:val="center"/>
          </w:tcPr>
          <w:p w14:paraId="1780E44D"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2017/2016</w:t>
            </w:r>
          </w:p>
        </w:tc>
        <w:tc>
          <w:tcPr>
            <w:tcW w:w="1260" w:type="dxa"/>
            <w:tcBorders>
              <w:top w:val="nil"/>
              <w:left w:val="nil"/>
              <w:bottom w:val="single" w:sz="8" w:space="0" w:color="BCD6EE"/>
              <w:right w:val="single" w:sz="8" w:space="0" w:color="BCD6EE"/>
            </w:tcBorders>
            <w:shd w:val="clear" w:color="auto" w:fill="auto"/>
            <w:vAlign w:val="center"/>
          </w:tcPr>
          <w:p w14:paraId="46C31A4A"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2018/2017</w:t>
            </w:r>
          </w:p>
        </w:tc>
        <w:tc>
          <w:tcPr>
            <w:tcW w:w="1260" w:type="dxa"/>
            <w:tcBorders>
              <w:top w:val="nil"/>
              <w:left w:val="nil"/>
              <w:bottom w:val="single" w:sz="8" w:space="0" w:color="BCD6EE"/>
              <w:right w:val="single" w:sz="8" w:space="0" w:color="BCD6EE"/>
            </w:tcBorders>
            <w:shd w:val="clear" w:color="auto" w:fill="auto"/>
            <w:vAlign w:val="center"/>
          </w:tcPr>
          <w:p w14:paraId="45D46B30"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2019/2018</w:t>
            </w:r>
          </w:p>
        </w:tc>
        <w:tc>
          <w:tcPr>
            <w:tcW w:w="1260" w:type="dxa"/>
            <w:tcBorders>
              <w:top w:val="nil"/>
              <w:left w:val="nil"/>
              <w:bottom w:val="single" w:sz="8" w:space="0" w:color="BCD6EE"/>
              <w:right w:val="single" w:sz="8" w:space="0" w:color="BCD6EE"/>
            </w:tcBorders>
            <w:shd w:val="clear" w:color="auto" w:fill="auto"/>
            <w:vAlign w:val="center"/>
          </w:tcPr>
          <w:p w14:paraId="0120F645"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2020/2019</w:t>
            </w:r>
          </w:p>
        </w:tc>
        <w:tc>
          <w:tcPr>
            <w:tcW w:w="1260" w:type="dxa"/>
            <w:tcBorders>
              <w:top w:val="nil"/>
              <w:left w:val="nil"/>
              <w:bottom w:val="single" w:sz="8" w:space="0" w:color="BCD6EE"/>
              <w:right w:val="single" w:sz="8" w:space="0" w:color="BCD6EE"/>
            </w:tcBorders>
            <w:shd w:val="clear" w:color="auto" w:fill="auto"/>
            <w:vAlign w:val="center"/>
          </w:tcPr>
          <w:p w14:paraId="689462C5"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2021/2020</w:t>
            </w:r>
          </w:p>
        </w:tc>
      </w:tr>
      <w:tr w:rsidR="00E440CE" w:rsidRPr="00ED7B99" w14:paraId="56866C36"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0F1072E6"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Unsko - sanski</w:t>
            </w:r>
          </w:p>
        </w:tc>
        <w:tc>
          <w:tcPr>
            <w:tcW w:w="1260" w:type="dxa"/>
            <w:tcBorders>
              <w:top w:val="nil"/>
              <w:left w:val="nil"/>
              <w:bottom w:val="single" w:sz="8" w:space="0" w:color="BCD6EE"/>
              <w:right w:val="single" w:sz="8" w:space="0" w:color="BCD6EE"/>
            </w:tcBorders>
            <w:shd w:val="clear" w:color="auto" w:fill="auto"/>
            <w:vAlign w:val="center"/>
          </w:tcPr>
          <w:p w14:paraId="05148AE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100,4</w:t>
            </w:r>
          </w:p>
        </w:tc>
        <w:tc>
          <w:tcPr>
            <w:tcW w:w="1260" w:type="dxa"/>
            <w:tcBorders>
              <w:top w:val="nil"/>
              <w:left w:val="nil"/>
              <w:bottom w:val="single" w:sz="8" w:space="0" w:color="BCD6EE"/>
              <w:right w:val="single" w:sz="8" w:space="0" w:color="BCD6EE"/>
            </w:tcBorders>
            <w:shd w:val="clear" w:color="auto" w:fill="auto"/>
            <w:vAlign w:val="center"/>
          </w:tcPr>
          <w:p w14:paraId="0022170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100,2</w:t>
            </w:r>
          </w:p>
        </w:tc>
        <w:tc>
          <w:tcPr>
            <w:tcW w:w="1260" w:type="dxa"/>
            <w:tcBorders>
              <w:top w:val="nil"/>
              <w:left w:val="nil"/>
              <w:bottom w:val="single" w:sz="8" w:space="0" w:color="BCD6EE"/>
              <w:right w:val="single" w:sz="8" w:space="0" w:color="BCD6EE"/>
            </w:tcBorders>
            <w:shd w:val="clear" w:color="auto" w:fill="auto"/>
            <w:vAlign w:val="center"/>
          </w:tcPr>
          <w:p w14:paraId="36DAA0E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103,8</w:t>
            </w:r>
          </w:p>
        </w:tc>
        <w:tc>
          <w:tcPr>
            <w:tcW w:w="1260" w:type="dxa"/>
            <w:tcBorders>
              <w:top w:val="nil"/>
              <w:left w:val="nil"/>
              <w:bottom w:val="single" w:sz="8" w:space="0" w:color="BCD6EE"/>
              <w:right w:val="single" w:sz="8" w:space="0" w:color="BCD6EE"/>
            </w:tcBorders>
            <w:shd w:val="clear" w:color="auto" w:fill="auto"/>
            <w:vAlign w:val="center"/>
          </w:tcPr>
          <w:p w14:paraId="7C5C1962"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94,0</w:t>
            </w:r>
          </w:p>
        </w:tc>
        <w:tc>
          <w:tcPr>
            <w:tcW w:w="1260" w:type="dxa"/>
            <w:tcBorders>
              <w:top w:val="nil"/>
              <w:left w:val="nil"/>
              <w:bottom w:val="single" w:sz="8" w:space="0" w:color="BCD6EE"/>
              <w:right w:val="single" w:sz="8" w:space="0" w:color="BCD6EE"/>
            </w:tcBorders>
            <w:shd w:val="clear" w:color="auto" w:fill="auto"/>
            <w:vAlign w:val="center"/>
          </w:tcPr>
          <w:p w14:paraId="7446ADCC"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115,5</w:t>
            </w:r>
          </w:p>
        </w:tc>
      </w:tr>
      <w:tr w:rsidR="00E440CE" w:rsidRPr="00ED7B99" w14:paraId="732734EF"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7DF22C41"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Posavski</w:t>
            </w:r>
          </w:p>
        </w:tc>
        <w:tc>
          <w:tcPr>
            <w:tcW w:w="1260" w:type="dxa"/>
            <w:tcBorders>
              <w:top w:val="nil"/>
              <w:left w:val="nil"/>
              <w:bottom w:val="single" w:sz="8" w:space="0" w:color="BCD6EE"/>
              <w:right w:val="single" w:sz="8" w:space="0" w:color="BCD6EE"/>
            </w:tcBorders>
            <w:shd w:val="clear" w:color="auto" w:fill="auto"/>
            <w:vAlign w:val="center"/>
          </w:tcPr>
          <w:p w14:paraId="4E98B53F"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100,8</w:t>
            </w:r>
          </w:p>
        </w:tc>
        <w:tc>
          <w:tcPr>
            <w:tcW w:w="1260" w:type="dxa"/>
            <w:tcBorders>
              <w:top w:val="nil"/>
              <w:left w:val="nil"/>
              <w:bottom w:val="single" w:sz="8" w:space="0" w:color="BCD6EE"/>
              <w:right w:val="single" w:sz="8" w:space="0" w:color="BCD6EE"/>
            </w:tcBorders>
            <w:shd w:val="clear" w:color="auto" w:fill="auto"/>
            <w:vAlign w:val="center"/>
          </w:tcPr>
          <w:p w14:paraId="536E00A3"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87,7</w:t>
            </w:r>
          </w:p>
        </w:tc>
        <w:tc>
          <w:tcPr>
            <w:tcW w:w="1260" w:type="dxa"/>
            <w:tcBorders>
              <w:top w:val="nil"/>
              <w:left w:val="nil"/>
              <w:bottom w:val="single" w:sz="8" w:space="0" w:color="BCD6EE"/>
              <w:right w:val="single" w:sz="8" w:space="0" w:color="BCD6EE"/>
            </w:tcBorders>
            <w:shd w:val="clear" w:color="auto" w:fill="auto"/>
            <w:vAlign w:val="center"/>
          </w:tcPr>
          <w:p w14:paraId="3E1B4362"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95,3</w:t>
            </w:r>
          </w:p>
        </w:tc>
        <w:tc>
          <w:tcPr>
            <w:tcW w:w="1260" w:type="dxa"/>
            <w:tcBorders>
              <w:top w:val="nil"/>
              <w:left w:val="nil"/>
              <w:bottom w:val="single" w:sz="8" w:space="0" w:color="BCD6EE"/>
              <w:right w:val="single" w:sz="8" w:space="0" w:color="BCD6EE"/>
            </w:tcBorders>
            <w:shd w:val="clear" w:color="auto" w:fill="auto"/>
            <w:vAlign w:val="center"/>
          </w:tcPr>
          <w:p w14:paraId="36F4DC1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95,3</w:t>
            </w:r>
          </w:p>
        </w:tc>
        <w:tc>
          <w:tcPr>
            <w:tcW w:w="1260" w:type="dxa"/>
            <w:tcBorders>
              <w:top w:val="nil"/>
              <w:left w:val="nil"/>
              <w:bottom w:val="single" w:sz="8" w:space="0" w:color="BCD6EE"/>
              <w:right w:val="single" w:sz="8" w:space="0" w:color="BCD6EE"/>
            </w:tcBorders>
            <w:shd w:val="clear" w:color="auto" w:fill="auto"/>
            <w:vAlign w:val="center"/>
          </w:tcPr>
          <w:p w14:paraId="6AAC683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106,7</w:t>
            </w:r>
          </w:p>
        </w:tc>
      </w:tr>
      <w:tr w:rsidR="00E440CE" w:rsidRPr="00ED7B99" w14:paraId="7C8E3616"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4226BA0C"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Tuzlanski</w:t>
            </w:r>
          </w:p>
        </w:tc>
        <w:tc>
          <w:tcPr>
            <w:tcW w:w="1260" w:type="dxa"/>
            <w:tcBorders>
              <w:top w:val="nil"/>
              <w:left w:val="nil"/>
              <w:bottom w:val="single" w:sz="8" w:space="0" w:color="BCD6EE"/>
              <w:right w:val="single" w:sz="8" w:space="0" w:color="BCD6EE"/>
            </w:tcBorders>
            <w:shd w:val="clear" w:color="auto" w:fill="auto"/>
            <w:vAlign w:val="center"/>
          </w:tcPr>
          <w:p w14:paraId="62BC36B3"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100,0</w:t>
            </w:r>
          </w:p>
        </w:tc>
        <w:tc>
          <w:tcPr>
            <w:tcW w:w="1260" w:type="dxa"/>
            <w:tcBorders>
              <w:top w:val="nil"/>
              <w:left w:val="nil"/>
              <w:bottom w:val="single" w:sz="8" w:space="0" w:color="BCD6EE"/>
              <w:right w:val="single" w:sz="8" w:space="0" w:color="BCD6EE"/>
            </w:tcBorders>
            <w:shd w:val="clear" w:color="auto" w:fill="auto"/>
            <w:vAlign w:val="center"/>
          </w:tcPr>
          <w:p w14:paraId="698B50C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100,0</w:t>
            </w:r>
          </w:p>
        </w:tc>
        <w:tc>
          <w:tcPr>
            <w:tcW w:w="1260" w:type="dxa"/>
            <w:tcBorders>
              <w:top w:val="nil"/>
              <w:left w:val="nil"/>
              <w:bottom w:val="single" w:sz="8" w:space="0" w:color="BCD6EE"/>
              <w:right w:val="single" w:sz="8" w:space="0" w:color="BCD6EE"/>
            </w:tcBorders>
            <w:shd w:val="clear" w:color="auto" w:fill="auto"/>
            <w:vAlign w:val="center"/>
          </w:tcPr>
          <w:p w14:paraId="20A70E1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97,9</w:t>
            </w:r>
          </w:p>
        </w:tc>
        <w:tc>
          <w:tcPr>
            <w:tcW w:w="1260" w:type="dxa"/>
            <w:tcBorders>
              <w:top w:val="nil"/>
              <w:left w:val="nil"/>
              <w:bottom w:val="single" w:sz="8" w:space="0" w:color="BCD6EE"/>
              <w:right w:val="single" w:sz="8" w:space="0" w:color="BCD6EE"/>
            </w:tcBorders>
            <w:shd w:val="clear" w:color="auto" w:fill="auto"/>
            <w:vAlign w:val="center"/>
          </w:tcPr>
          <w:p w14:paraId="43D4E88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97,4</w:t>
            </w:r>
          </w:p>
        </w:tc>
        <w:tc>
          <w:tcPr>
            <w:tcW w:w="1260" w:type="dxa"/>
            <w:tcBorders>
              <w:top w:val="nil"/>
              <w:left w:val="nil"/>
              <w:bottom w:val="single" w:sz="8" w:space="0" w:color="BCD6EE"/>
              <w:right w:val="single" w:sz="8" w:space="0" w:color="BCD6EE"/>
            </w:tcBorders>
            <w:shd w:val="clear" w:color="auto" w:fill="auto"/>
            <w:vAlign w:val="center"/>
          </w:tcPr>
          <w:p w14:paraId="59E9E1F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102,8</w:t>
            </w:r>
          </w:p>
        </w:tc>
      </w:tr>
      <w:tr w:rsidR="00E440CE" w:rsidRPr="00ED7B99" w14:paraId="5F8C81FA"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76BDF22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Zeničko-dobojski</w:t>
            </w:r>
          </w:p>
        </w:tc>
        <w:tc>
          <w:tcPr>
            <w:tcW w:w="1260" w:type="dxa"/>
            <w:tcBorders>
              <w:top w:val="nil"/>
              <w:left w:val="nil"/>
              <w:bottom w:val="single" w:sz="8" w:space="0" w:color="BCD6EE"/>
              <w:right w:val="single" w:sz="8" w:space="0" w:color="BCD6EE"/>
            </w:tcBorders>
            <w:shd w:val="clear" w:color="auto" w:fill="auto"/>
            <w:vAlign w:val="center"/>
          </w:tcPr>
          <w:p w14:paraId="6FFF0433"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100,7</w:t>
            </w:r>
          </w:p>
        </w:tc>
        <w:tc>
          <w:tcPr>
            <w:tcW w:w="1260" w:type="dxa"/>
            <w:tcBorders>
              <w:top w:val="nil"/>
              <w:left w:val="nil"/>
              <w:bottom w:val="single" w:sz="8" w:space="0" w:color="BCD6EE"/>
              <w:right w:val="single" w:sz="8" w:space="0" w:color="BCD6EE"/>
            </w:tcBorders>
            <w:shd w:val="clear" w:color="auto" w:fill="auto"/>
            <w:vAlign w:val="center"/>
          </w:tcPr>
          <w:p w14:paraId="2551107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96,6</w:t>
            </w:r>
          </w:p>
        </w:tc>
        <w:tc>
          <w:tcPr>
            <w:tcW w:w="1260" w:type="dxa"/>
            <w:tcBorders>
              <w:top w:val="nil"/>
              <w:left w:val="nil"/>
              <w:bottom w:val="single" w:sz="8" w:space="0" w:color="BCD6EE"/>
              <w:right w:val="single" w:sz="8" w:space="0" w:color="BCD6EE"/>
            </w:tcBorders>
            <w:shd w:val="clear" w:color="auto" w:fill="auto"/>
            <w:vAlign w:val="center"/>
          </w:tcPr>
          <w:p w14:paraId="31F25DE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93,6</w:t>
            </w:r>
          </w:p>
        </w:tc>
        <w:tc>
          <w:tcPr>
            <w:tcW w:w="1260" w:type="dxa"/>
            <w:tcBorders>
              <w:top w:val="nil"/>
              <w:left w:val="nil"/>
              <w:bottom w:val="single" w:sz="8" w:space="0" w:color="BCD6EE"/>
              <w:right w:val="single" w:sz="8" w:space="0" w:color="BCD6EE"/>
            </w:tcBorders>
            <w:shd w:val="clear" w:color="auto" w:fill="auto"/>
            <w:vAlign w:val="center"/>
          </w:tcPr>
          <w:p w14:paraId="3A09669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101,2</w:t>
            </w:r>
          </w:p>
        </w:tc>
        <w:tc>
          <w:tcPr>
            <w:tcW w:w="1260" w:type="dxa"/>
            <w:tcBorders>
              <w:top w:val="nil"/>
              <w:left w:val="nil"/>
              <w:bottom w:val="single" w:sz="8" w:space="0" w:color="BCD6EE"/>
              <w:right w:val="single" w:sz="8" w:space="0" w:color="BCD6EE"/>
            </w:tcBorders>
            <w:shd w:val="clear" w:color="auto" w:fill="auto"/>
            <w:vAlign w:val="center"/>
          </w:tcPr>
          <w:p w14:paraId="15B1C2D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102,0</w:t>
            </w:r>
          </w:p>
        </w:tc>
      </w:tr>
      <w:tr w:rsidR="00E440CE" w:rsidRPr="00ED7B99" w14:paraId="3D1539BA"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2C6345C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Bosansko-podrinjski</w:t>
            </w:r>
          </w:p>
        </w:tc>
        <w:tc>
          <w:tcPr>
            <w:tcW w:w="1260" w:type="dxa"/>
            <w:tcBorders>
              <w:top w:val="nil"/>
              <w:left w:val="nil"/>
              <w:bottom w:val="single" w:sz="8" w:space="0" w:color="BCD6EE"/>
              <w:right w:val="single" w:sz="8" w:space="0" w:color="BCD6EE"/>
            </w:tcBorders>
            <w:shd w:val="clear" w:color="auto" w:fill="auto"/>
            <w:vAlign w:val="center"/>
          </w:tcPr>
          <w:p w14:paraId="7779146C"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110,1</w:t>
            </w:r>
          </w:p>
        </w:tc>
        <w:tc>
          <w:tcPr>
            <w:tcW w:w="1260" w:type="dxa"/>
            <w:tcBorders>
              <w:top w:val="nil"/>
              <w:left w:val="nil"/>
              <w:bottom w:val="single" w:sz="8" w:space="0" w:color="BCD6EE"/>
              <w:right w:val="single" w:sz="8" w:space="0" w:color="BCD6EE"/>
            </w:tcBorders>
            <w:shd w:val="clear" w:color="auto" w:fill="auto"/>
            <w:vAlign w:val="center"/>
          </w:tcPr>
          <w:p w14:paraId="7B115C5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95,3</w:t>
            </w:r>
          </w:p>
        </w:tc>
        <w:tc>
          <w:tcPr>
            <w:tcW w:w="1260" w:type="dxa"/>
            <w:tcBorders>
              <w:top w:val="nil"/>
              <w:left w:val="nil"/>
              <w:bottom w:val="single" w:sz="8" w:space="0" w:color="BCD6EE"/>
              <w:right w:val="single" w:sz="8" w:space="0" w:color="BCD6EE"/>
            </w:tcBorders>
            <w:shd w:val="clear" w:color="auto" w:fill="auto"/>
            <w:vAlign w:val="center"/>
          </w:tcPr>
          <w:p w14:paraId="6411094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72,7</w:t>
            </w:r>
          </w:p>
        </w:tc>
        <w:tc>
          <w:tcPr>
            <w:tcW w:w="1260" w:type="dxa"/>
            <w:tcBorders>
              <w:top w:val="nil"/>
              <w:left w:val="nil"/>
              <w:bottom w:val="single" w:sz="8" w:space="0" w:color="BCD6EE"/>
              <w:right w:val="single" w:sz="8" w:space="0" w:color="BCD6EE"/>
            </w:tcBorders>
            <w:shd w:val="clear" w:color="auto" w:fill="auto"/>
            <w:vAlign w:val="center"/>
          </w:tcPr>
          <w:p w14:paraId="7C9D596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98,7</w:t>
            </w:r>
          </w:p>
        </w:tc>
        <w:tc>
          <w:tcPr>
            <w:tcW w:w="1260" w:type="dxa"/>
            <w:tcBorders>
              <w:top w:val="nil"/>
              <w:left w:val="nil"/>
              <w:bottom w:val="single" w:sz="8" w:space="0" w:color="BCD6EE"/>
              <w:right w:val="single" w:sz="8" w:space="0" w:color="BCD6EE"/>
            </w:tcBorders>
            <w:shd w:val="clear" w:color="auto" w:fill="auto"/>
            <w:vAlign w:val="center"/>
          </w:tcPr>
          <w:p w14:paraId="3B7CC81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118,0</w:t>
            </w:r>
          </w:p>
        </w:tc>
      </w:tr>
      <w:tr w:rsidR="00E440CE" w:rsidRPr="00ED7B99" w14:paraId="0E775385"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72547BD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Srednjobosanski</w:t>
            </w:r>
          </w:p>
        </w:tc>
        <w:tc>
          <w:tcPr>
            <w:tcW w:w="1260" w:type="dxa"/>
            <w:tcBorders>
              <w:top w:val="nil"/>
              <w:left w:val="nil"/>
              <w:bottom w:val="single" w:sz="8" w:space="0" w:color="BCD6EE"/>
              <w:right w:val="single" w:sz="8" w:space="0" w:color="BCD6EE"/>
            </w:tcBorders>
            <w:shd w:val="clear" w:color="auto" w:fill="auto"/>
            <w:vAlign w:val="center"/>
          </w:tcPr>
          <w:p w14:paraId="2E1F0CA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98,5</w:t>
            </w:r>
          </w:p>
        </w:tc>
        <w:tc>
          <w:tcPr>
            <w:tcW w:w="1260" w:type="dxa"/>
            <w:tcBorders>
              <w:top w:val="nil"/>
              <w:left w:val="nil"/>
              <w:bottom w:val="single" w:sz="8" w:space="0" w:color="BCD6EE"/>
              <w:right w:val="single" w:sz="8" w:space="0" w:color="BCD6EE"/>
            </w:tcBorders>
            <w:shd w:val="clear" w:color="auto" w:fill="auto"/>
            <w:vAlign w:val="center"/>
          </w:tcPr>
          <w:p w14:paraId="7835CCD1"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99,2</w:t>
            </w:r>
          </w:p>
        </w:tc>
        <w:tc>
          <w:tcPr>
            <w:tcW w:w="1260" w:type="dxa"/>
            <w:tcBorders>
              <w:top w:val="nil"/>
              <w:left w:val="nil"/>
              <w:bottom w:val="single" w:sz="8" w:space="0" w:color="BCD6EE"/>
              <w:right w:val="single" w:sz="8" w:space="0" w:color="BCD6EE"/>
            </w:tcBorders>
            <w:shd w:val="clear" w:color="auto" w:fill="auto"/>
            <w:vAlign w:val="center"/>
          </w:tcPr>
          <w:p w14:paraId="42FF5FD1"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101,1</w:t>
            </w:r>
          </w:p>
        </w:tc>
        <w:tc>
          <w:tcPr>
            <w:tcW w:w="1260" w:type="dxa"/>
            <w:tcBorders>
              <w:top w:val="nil"/>
              <w:left w:val="nil"/>
              <w:bottom w:val="single" w:sz="8" w:space="0" w:color="BCD6EE"/>
              <w:right w:val="single" w:sz="8" w:space="0" w:color="BCD6EE"/>
            </w:tcBorders>
            <w:shd w:val="clear" w:color="auto" w:fill="auto"/>
            <w:vAlign w:val="center"/>
          </w:tcPr>
          <w:p w14:paraId="5A0BB25C"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87,9</w:t>
            </w:r>
          </w:p>
        </w:tc>
        <w:tc>
          <w:tcPr>
            <w:tcW w:w="1260" w:type="dxa"/>
            <w:tcBorders>
              <w:top w:val="nil"/>
              <w:left w:val="nil"/>
              <w:bottom w:val="single" w:sz="8" w:space="0" w:color="BCD6EE"/>
              <w:right w:val="single" w:sz="8" w:space="0" w:color="BCD6EE"/>
            </w:tcBorders>
            <w:shd w:val="clear" w:color="auto" w:fill="auto"/>
            <w:vAlign w:val="center"/>
          </w:tcPr>
          <w:p w14:paraId="0DC660AC"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118,0</w:t>
            </w:r>
          </w:p>
        </w:tc>
      </w:tr>
      <w:tr w:rsidR="00E440CE" w:rsidRPr="00ED7B99" w14:paraId="767FCB16"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12CBCF2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Hercegovačko- neretvanski</w:t>
            </w:r>
          </w:p>
        </w:tc>
        <w:tc>
          <w:tcPr>
            <w:tcW w:w="1260" w:type="dxa"/>
            <w:tcBorders>
              <w:top w:val="nil"/>
              <w:left w:val="nil"/>
              <w:bottom w:val="single" w:sz="8" w:space="0" w:color="BCD6EE"/>
              <w:right w:val="single" w:sz="8" w:space="0" w:color="BCD6EE"/>
            </w:tcBorders>
            <w:shd w:val="clear" w:color="auto" w:fill="auto"/>
            <w:vAlign w:val="center"/>
          </w:tcPr>
          <w:p w14:paraId="2FD73A6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91,5</w:t>
            </w:r>
          </w:p>
        </w:tc>
        <w:tc>
          <w:tcPr>
            <w:tcW w:w="1260" w:type="dxa"/>
            <w:tcBorders>
              <w:top w:val="nil"/>
              <w:left w:val="nil"/>
              <w:bottom w:val="single" w:sz="8" w:space="0" w:color="BCD6EE"/>
              <w:right w:val="single" w:sz="8" w:space="0" w:color="BCD6EE"/>
            </w:tcBorders>
            <w:shd w:val="clear" w:color="auto" w:fill="auto"/>
            <w:vAlign w:val="center"/>
          </w:tcPr>
          <w:p w14:paraId="6EE93BF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122,3</w:t>
            </w:r>
          </w:p>
        </w:tc>
        <w:tc>
          <w:tcPr>
            <w:tcW w:w="1260" w:type="dxa"/>
            <w:tcBorders>
              <w:top w:val="nil"/>
              <w:left w:val="nil"/>
              <w:bottom w:val="single" w:sz="8" w:space="0" w:color="BCD6EE"/>
              <w:right w:val="single" w:sz="8" w:space="0" w:color="BCD6EE"/>
            </w:tcBorders>
            <w:shd w:val="clear" w:color="auto" w:fill="auto"/>
            <w:vAlign w:val="center"/>
          </w:tcPr>
          <w:p w14:paraId="04AE60C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97,5</w:t>
            </w:r>
          </w:p>
        </w:tc>
        <w:tc>
          <w:tcPr>
            <w:tcW w:w="1260" w:type="dxa"/>
            <w:tcBorders>
              <w:top w:val="nil"/>
              <w:left w:val="nil"/>
              <w:bottom w:val="single" w:sz="8" w:space="0" w:color="BCD6EE"/>
              <w:right w:val="single" w:sz="8" w:space="0" w:color="BCD6EE"/>
            </w:tcBorders>
            <w:shd w:val="clear" w:color="auto" w:fill="auto"/>
            <w:vAlign w:val="center"/>
          </w:tcPr>
          <w:p w14:paraId="30C46BD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73,9</w:t>
            </w:r>
          </w:p>
        </w:tc>
        <w:tc>
          <w:tcPr>
            <w:tcW w:w="1260" w:type="dxa"/>
            <w:tcBorders>
              <w:top w:val="nil"/>
              <w:left w:val="nil"/>
              <w:bottom w:val="single" w:sz="8" w:space="0" w:color="BCD6EE"/>
              <w:right w:val="single" w:sz="8" w:space="0" w:color="BCD6EE"/>
            </w:tcBorders>
            <w:shd w:val="clear" w:color="auto" w:fill="auto"/>
            <w:vAlign w:val="center"/>
          </w:tcPr>
          <w:p w14:paraId="7A6B03D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127,4</w:t>
            </w:r>
          </w:p>
        </w:tc>
      </w:tr>
      <w:tr w:rsidR="00E440CE" w:rsidRPr="00ED7B99" w14:paraId="4EFDF7EA"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1F9F05CD"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Zapadnohercegovački</w:t>
            </w:r>
          </w:p>
        </w:tc>
        <w:tc>
          <w:tcPr>
            <w:tcW w:w="1260" w:type="dxa"/>
            <w:tcBorders>
              <w:top w:val="nil"/>
              <w:left w:val="nil"/>
              <w:bottom w:val="single" w:sz="8" w:space="0" w:color="BCD6EE"/>
              <w:right w:val="single" w:sz="8" w:space="0" w:color="BCD6EE"/>
            </w:tcBorders>
            <w:shd w:val="clear" w:color="auto" w:fill="auto"/>
            <w:vAlign w:val="center"/>
          </w:tcPr>
          <w:p w14:paraId="32AE583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105,1</w:t>
            </w:r>
          </w:p>
        </w:tc>
        <w:tc>
          <w:tcPr>
            <w:tcW w:w="1260" w:type="dxa"/>
            <w:tcBorders>
              <w:top w:val="nil"/>
              <w:left w:val="nil"/>
              <w:bottom w:val="single" w:sz="8" w:space="0" w:color="BCD6EE"/>
              <w:right w:val="single" w:sz="8" w:space="0" w:color="BCD6EE"/>
            </w:tcBorders>
            <w:shd w:val="clear" w:color="auto" w:fill="auto"/>
            <w:vAlign w:val="center"/>
          </w:tcPr>
          <w:p w14:paraId="657B58DF"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103,0</w:t>
            </w:r>
          </w:p>
        </w:tc>
        <w:tc>
          <w:tcPr>
            <w:tcW w:w="1260" w:type="dxa"/>
            <w:tcBorders>
              <w:top w:val="nil"/>
              <w:left w:val="nil"/>
              <w:bottom w:val="single" w:sz="8" w:space="0" w:color="BCD6EE"/>
              <w:right w:val="single" w:sz="8" w:space="0" w:color="BCD6EE"/>
            </w:tcBorders>
            <w:shd w:val="clear" w:color="auto" w:fill="auto"/>
            <w:vAlign w:val="center"/>
          </w:tcPr>
          <w:p w14:paraId="480D5ED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111,6</w:t>
            </w:r>
          </w:p>
        </w:tc>
        <w:tc>
          <w:tcPr>
            <w:tcW w:w="1260" w:type="dxa"/>
            <w:tcBorders>
              <w:top w:val="nil"/>
              <w:left w:val="nil"/>
              <w:bottom w:val="single" w:sz="8" w:space="0" w:color="BCD6EE"/>
              <w:right w:val="single" w:sz="8" w:space="0" w:color="BCD6EE"/>
            </w:tcBorders>
            <w:shd w:val="clear" w:color="auto" w:fill="auto"/>
            <w:vAlign w:val="center"/>
          </w:tcPr>
          <w:p w14:paraId="43FD4E2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101,5</w:t>
            </w:r>
          </w:p>
        </w:tc>
        <w:tc>
          <w:tcPr>
            <w:tcW w:w="1260" w:type="dxa"/>
            <w:tcBorders>
              <w:top w:val="nil"/>
              <w:left w:val="nil"/>
              <w:bottom w:val="single" w:sz="8" w:space="0" w:color="BCD6EE"/>
              <w:right w:val="single" w:sz="8" w:space="0" w:color="BCD6EE"/>
            </w:tcBorders>
            <w:shd w:val="clear" w:color="auto" w:fill="auto"/>
            <w:vAlign w:val="center"/>
          </w:tcPr>
          <w:p w14:paraId="67AC106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114,0</w:t>
            </w:r>
          </w:p>
        </w:tc>
      </w:tr>
      <w:tr w:rsidR="00E440CE" w:rsidRPr="00ED7B99" w14:paraId="70902DF8"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001CA434"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Sarajevo</w:t>
            </w:r>
          </w:p>
        </w:tc>
        <w:tc>
          <w:tcPr>
            <w:tcW w:w="1260" w:type="dxa"/>
            <w:tcBorders>
              <w:top w:val="nil"/>
              <w:left w:val="nil"/>
              <w:bottom w:val="single" w:sz="8" w:space="0" w:color="BCD6EE"/>
              <w:right w:val="single" w:sz="8" w:space="0" w:color="BCD6EE"/>
            </w:tcBorders>
            <w:shd w:val="clear" w:color="auto" w:fill="auto"/>
            <w:vAlign w:val="center"/>
          </w:tcPr>
          <w:p w14:paraId="65D40A5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108,1</w:t>
            </w:r>
          </w:p>
        </w:tc>
        <w:tc>
          <w:tcPr>
            <w:tcW w:w="1260" w:type="dxa"/>
            <w:tcBorders>
              <w:top w:val="nil"/>
              <w:left w:val="nil"/>
              <w:bottom w:val="single" w:sz="8" w:space="0" w:color="BCD6EE"/>
              <w:right w:val="single" w:sz="8" w:space="0" w:color="BCD6EE"/>
            </w:tcBorders>
            <w:shd w:val="clear" w:color="auto" w:fill="auto"/>
            <w:vAlign w:val="center"/>
          </w:tcPr>
          <w:p w14:paraId="129DDFA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104,6</w:t>
            </w:r>
          </w:p>
        </w:tc>
        <w:tc>
          <w:tcPr>
            <w:tcW w:w="1260" w:type="dxa"/>
            <w:tcBorders>
              <w:top w:val="nil"/>
              <w:left w:val="nil"/>
              <w:bottom w:val="single" w:sz="8" w:space="0" w:color="BCD6EE"/>
              <w:right w:val="single" w:sz="8" w:space="0" w:color="BCD6EE"/>
            </w:tcBorders>
            <w:shd w:val="clear" w:color="auto" w:fill="auto"/>
            <w:vAlign w:val="center"/>
          </w:tcPr>
          <w:p w14:paraId="4D9A2AC3"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103,7</w:t>
            </w:r>
          </w:p>
        </w:tc>
        <w:tc>
          <w:tcPr>
            <w:tcW w:w="1260" w:type="dxa"/>
            <w:tcBorders>
              <w:top w:val="nil"/>
              <w:left w:val="nil"/>
              <w:bottom w:val="single" w:sz="8" w:space="0" w:color="BCD6EE"/>
              <w:right w:val="single" w:sz="8" w:space="0" w:color="BCD6EE"/>
            </w:tcBorders>
            <w:shd w:val="clear" w:color="auto" w:fill="auto"/>
            <w:vAlign w:val="center"/>
          </w:tcPr>
          <w:p w14:paraId="2E6768E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86,9</w:t>
            </w:r>
          </w:p>
        </w:tc>
        <w:tc>
          <w:tcPr>
            <w:tcW w:w="1260" w:type="dxa"/>
            <w:tcBorders>
              <w:top w:val="nil"/>
              <w:left w:val="nil"/>
              <w:bottom w:val="single" w:sz="8" w:space="0" w:color="BCD6EE"/>
              <w:right w:val="single" w:sz="8" w:space="0" w:color="BCD6EE"/>
            </w:tcBorders>
            <w:shd w:val="clear" w:color="auto" w:fill="auto"/>
            <w:vAlign w:val="center"/>
          </w:tcPr>
          <w:p w14:paraId="503085F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102,4</w:t>
            </w:r>
          </w:p>
        </w:tc>
      </w:tr>
      <w:tr w:rsidR="00E440CE" w:rsidRPr="00ED7B99" w14:paraId="77722BE2" w14:textId="77777777">
        <w:trPr>
          <w:trHeight w:val="315"/>
        </w:trPr>
        <w:tc>
          <w:tcPr>
            <w:tcW w:w="2920" w:type="dxa"/>
            <w:tcBorders>
              <w:top w:val="nil"/>
              <w:left w:val="single" w:sz="8" w:space="0" w:color="BCD6EE"/>
              <w:bottom w:val="single" w:sz="8" w:space="0" w:color="BCD6EE"/>
              <w:right w:val="single" w:sz="8" w:space="0" w:color="BCD6EE"/>
            </w:tcBorders>
            <w:shd w:val="clear" w:color="auto" w:fill="auto"/>
            <w:vAlign w:val="center"/>
          </w:tcPr>
          <w:p w14:paraId="664069BE"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10</w:t>
            </w:r>
          </w:p>
        </w:tc>
        <w:tc>
          <w:tcPr>
            <w:tcW w:w="1260" w:type="dxa"/>
            <w:tcBorders>
              <w:top w:val="nil"/>
              <w:left w:val="nil"/>
              <w:bottom w:val="single" w:sz="8" w:space="0" w:color="BCD6EE"/>
              <w:right w:val="single" w:sz="8" w:space="0" w:color="BCD6EE"/>
            </w:tcBorders>
            <w:shd w:val="clear" w:color="auto" w:fill="auto"/>
            <w:vAlign w:val="center"/>
          </w:tcPr>
          <w:p w14:paraId="5025988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102,7</w:t>
            </w:r>
          </w:p>
        </w:tc>
        <w:tc>
          <w:tcPr>
            <w:tcW w:w="1260" w:type="dxa"/>
            <w:tcBorders>
              <w:top w:val="nil"/>
              <w:left w:val="nil"/>
              <w:bottom w:val="single" w:sz="8" w:space="0" w:color="BCD6EE"/>
              <w:right w:val="single" w:sz="8" w:space="0" w:color="BCD6EE"/>
            </w:tcBorders>
            <w:shd w:val="clear" w:color="auto" w:fill="auto"/>
            <w:vAlign w:val="center"/>
          </w:tcPr>
          <w:p w14:paraId="4D597292"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97,3</w:t>
            </w:r>
          </w:p>
        </w:tc>
        <w:tc>
          <w:tcPr>
            <w:tcW w:w="1260" w:type="dxa"/>
            <w:tcBorders>
              <w:top w:val="nil"/>
              <w:left w:val="nil"/>
              <w:bottom w:val="single" w:sz="8" w:space="0" w:color="BCD6EE"/>
              <w:right w:val="single" w:sz="8" w:space="0" w:color="BCD6EE"/>
            </w:tcBorders>
            <w:shd w:val="clear" w:color="auto" w:fill="auto"/>
            <w:vAlign w:val="center"/>
          </w:tcPr>
          <w:p w14:paraId="7B8D2AB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96,2</w:t>
            </w:r>
          </w:p>
        </w:tc>
        <w:tc>
          <w:tcPr>
            <w:tcW w:w="1260" w:type="dxa"/>
            <w:tcBorders>
              <w:top w:val="nil"/>
              <w:left w:val="nil"/>
              <w:bottom w:val="single" w:sz="8" w:space="0" w:color="BCD6EE"/>
              <w:right w:val="single" w:sz="8" w:space="0" w:color="BCD6EE"/>
            </w:tcBorders>
            <w:shd w:val="clear" w:color="auto" w:fill="auto"/>
            <w:vAlign w:val="center"/>
          </w:tcPr>
          <w:p w14:paraId="71ACD352"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98,0</w:t>
            </w:r>
          </w:p>
        </w:tc>
        <w:tc>
          <w:tcPr>
            <w:tcW w:w="1260" w:type="dxa"/>
            <w:tcBorders>
              <w:top w:val="nil"/>
              <w:left w:val="nil"/>
              <w:bottom w:val="single" w:sz="8" w:space="0" w:color="BCD6EE"/>
              <w:right w:val="single" w:sz="8" w:space="0" w:color="BCD6EE"/>
            </w:tcBorders>
            <w:shd w:val="clear" w:color="auto" w:fill="auto"/>
            <w:vAlign w:val="center"/>
          </w:tcPr>
          <w:p w14:paraId="0E33E202"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100,9</w:t>
            </w:r>
          </w:p>
        </w:tc>
      </w:tr>
      <w:tr w:rsidR="00E440CE" w:rsidRPr="00ED7B99" w14:paraId="144326B5" w14:textId="77777777" w:rsidTr="00683004">
        <w:trPr>
          <w:trHeight w:val="315"/>
        </w:trPr>
        <w:tc>
          <w:tcPr>
            <w:tcW w:w="2920"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720A700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Federacija BiH</w:t>
            </w:r>
          </w:p>
        </w:tc>
        <w:tc>
          <w:tcPr>
            <w:tcW w:w="1260" w:type="dxa"/>
            <w:tcBorders>
              <w:top w:val="nil"/>
              <w:left w:val="nil"/>
              <w:bottom w:val="single" w:sz="8" w:space="0" w:color="BCD6EE"/>
              <w:right w:val="single" w:sz="8" w:space="0" w:color="BCD6EE"/>
            </w:tcBorders>
            <w:shd w:val="clear" w:color="auto" w:fill="BCD9DE" w:themeFill="accent5" w:themeFillTint="66"/>
            <w:vAlign w:val="center"/>
          </w:tcPr>
          <w:p w14:paraId="1579220D"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103,8</w:t>
            </w:r>
          </w:p>
        </w:tc>
        <w:tc>
          <w:tcPr>
            <w:tcW w:w="1260" w:type="dxa"/>
            <w:tcBorders>
              <w:top w:val="nil"/>
              <w:left w:val="nil"/>
              <w:bottom w:val="single" w:sz="8" w:space="0" w:color="BCD6EE"/>
              <w:right w:val="single" w:sz="8" w:space="0" w:color="BCD6EE"/>
            </w:tcBorders>
            <w:shd w:val="clear" w:color="auto" w:fill="BCD9DE" w:themeFill="accent5" w:themeFillTint="66"/>
            <w:vAlign w:val="center"/>
          </w:tcPr>
          <w:p w14:paraId="631C0E48"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100,8</w:t>
            </w:r>
          </w:p>
        </w:tc>
        <w:tc>
          <w:tcPr>
            <w:tcW w:w="1260" w:type="dxa"/>
            <w:tcBorders>
              <w:top w:val="nil"/>
              <w:left w:val="nil"/>
              <w:bottom w:val="single" w:sz="8" w:space="0" w:color="BCD6EE"/>
              <w:right w:val="single" w:sz="8" w:space="0" w:color="BCD6EE"/>
            </w:tcBorders>
            <w:shd w:val="clear" w:color="auto" w:fill="BCD9DE" w:themeFill="accent5" w:themeFillTint="66"/>
            <w:vAlign w:val="center"/>
          </w:tcPr>
          <w:p w14:paraId="465CDDE3"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97,3</w:t>
            </w:r>
          </w:p>
        </w:tc>
        <w:tc>
          <w:tcPr>
            <w:tcW w:w="1260" w:type="dxa"/>
            <w:tcBorders>
              <w:top w:val="nil"/>
              <w:left w:val="nil"/>
              <w:bottom w:val="single" w:sz="8" w:space="0" w:color="BCD6EE"/>
              <w:right w:val="single" w:sz="8" w:space="0" w:color="BCD6EE"/>
            </w:tcBorders>
            <w:shd w:val="clear" w:color="auto" w:fill="BCD9DE" w:themeFill="accent5" w:themeFillTint="66"/>
            <w:vAlign w:val="center"/>
          </w:tcPr>
          <w:p w14:paraId="73B91F5C"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94,2</w:t>
            </w:r>
          </w:p>
        </w:tc>
        <w:tc>
          <w:tcPr>
            <w:tcW w:w="1260" w:type="dxa"/>
            <w:tcBorders>
              <w:top w:val="nil"/>
              <w:left w:val="nil"/>
              <w:bottom w:val="single" w:sz="8" w:space="0" w:color="BCD6EE"/>
              <w:right w:val="single" w:sz="8" w:space="0" w:color="BCD6EE"/>
            </w:tcBorders>
            <w:shd w:val="clear" w:color="auto" w:fill="BCD9DE" w:themeFill="accent5" w:themeFillTint="66"/>
            <w:vAlign w:val="center"/>
          </w:tcPr>
          <w:p w14:paraId="1FF4FAB8"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109,8</w:t>
            </w:r>
          </w:p>
        </w:tc>
      </w:tr>
    </w:tbl>
    <w:p w14:paraId="6F30BAA1" w14:textId="77777777" w:rsidR="00E440CE" w:rsidRPr="00ED7B99" w:rsidRDefault="003422A9">
      <w:pPr>
        <w:spacing w:after="0" w:line="240" w:lineRule="auto"/>
        <w:rPr>
          <w:rFonts w:asciiTheme="majorHAnsi" w:hAnsiTheme="majorHAnsi" w:cstheme="majorHAnsi"/>
          <w:i/>
          <w:sz w:val="18"/>
          <w:szCs w:val="18"/>
        </w:rPr>
      </w:pPr>
      <w:r w:rsidRPr="00ED7B99">
        <w:rPr>
          <w:rFonts w:asciiTheme="majorHAnsi" w:hAnsiTheme="majorHAnsi" w:cstheme="majorHAnsi"/>
          <w:i/>
          <w:sz w:val="18"/>
          <w:szCs w:val="18"/>
        </w:rPr>
        <w:t xml:space="preserve">Izvor: Federalni zavod za statistiku, 2021. </w:t>
      </w:r>
    </w:p>
    <w:p w14:paraId="3B749A44" w14:textId="77777777" w:rsidR="00E440CE" w:rsidRPr="00ED7B99" w:rsidRDefault="003422A9">
      <w:pPr>
        <w:spacing w:after="0" w:line="240" w:lineRule="auto"/>
        <w:rPr>
          <w:rFonts w:asciiTheme="majorHAnsi" w:hAnsiTheme="majorHAnsi" w:cstheme="majorHAnsi"/>
          <w:i/>
          <w:sz w:val="18"/>
          <w:szCs w:val="18"/>
        </w:rPr>
      </w:pPr>
      <w:r w:rsidRPr="00ED7B99">
        <w:rPr>
          <w:rFonts w:asciiTheme="majorHAnsi" w:hAnsiTheme="majorHAnsi" w:cstheme="majorHAnsi"/>
          <w:i/>
          <w:sz w:val="18"/>
          <w:szCs w:val="18"/>
        </w:rPr>
        <w:t>Obrada: Federalni zavod za programiranje razvoja</w:t>
      </w:r>
    </w:p>
    <w:p w14:paraId="034EEC36" w14:textId="77777777" w:rsidR="00E440CE" w:rsidRPr="00ED7B99" w:rsidRDefault="00E440CE">
      <w:pPr>
        <w:rPr>
          <w:rFonts w:asciiTheme="majorHAnsi" w:hAnsiTheme="majorHAnsi" w:cstheme="majorHAnsi"/>
          <w:b/>
          <w:highlight w:val="yellow"/>
        </w:rPr>
      </w:pPr>
    </w:p>
    <w:p w14:paraId="05C88E5D" w14:textId="77777777" w:rsidR="00E440CE" w:rsidRPr="00ED7B99" w:rsidRDefault="003422A9">
      <w:pPr>
        <w:rPr>
          <w:rFonts w:asciiTheme="majorHAnsi" w:hAnsiTheme="majorHAnsi" w:cstheme="majorHAnsi"/>
          <w:b/>
        </w:rPr>
      </w:pPr>
      <w:r w:rsidRPr="00ED7B99">
        <w:rPr>
          <w:rFonts w:asciiTheme="majorHAnsi" w:hAnsiTheme="majorHAnsi" w:cstheme="majorHAnsi"/>
          <w:b/>
        </w:rPr>
        <w:t>Vanjskotrgovinska razmjena sa inostranstvom</w:t>
      </w:r>
    </w:p>
    <w:p w14:paraId="77998D1A" w14:textId="31044A54" w:rsidR="00E440CE" w:rsidRDefault="003422A9" w:rsidP="00026C1B">
      <w:pPr>
        <w:jc w:val="both"/>
        <w:rPr>
          <w:rFonts w:asciiTheme="majorHAnsi" w:hAnsiTheme="majorHAnsi" w:cstheme="majorHAnsi"/>
        </w:rPr>
      </w:pPr>
      <w:r w:rsidRPr="00ED7B99">
        <w:rPr>
          <w:rFonts w:asciiTheme="majorHAnsi" w:hAnsiTheme="majorHAnsi" w:cstheme="majorHAnsi"/>
        </w:rPr>
        <w:t>Ukupan obim vanjskotrgovinske razmjene u periodu 2016-2019 godina je kontinuirano rastao, dok se pokrivenost uvoza izvozom kretala između 55,37% i 59,98%. Tokom 2020</w:t>
      </w:r>
      <w:r w:rsidR="00026C1B">
        <w:rPr>
          <w:rFonts w:asciiTheme="majorHAnsi" w:hAnsiTheme="majorHAnsi" w:cstheme="majorHAnsi"/>
        </w:rPr>
        <w:t>.</w:t>
      </w:r>
      <w:r w:rsidRPr="00ED7B99">
        <w:rPr>
          <w:rFonts w:asciiTheme="majorHAnsi" w:hAnsiTheme="majorHAnsi" w:cstheme="majorHAnsi"/>
        </w:rPr>
        <w:t xml:space="preserve"> godine došlo je do pada i vrijednosti izvoza i uvoza ali je pokrivenost uvoza izvozom bila jednaka najvećoj vrijednosti u posmatranom periodu. U 2021. godini, nakon otvaranja granica i popuštanja restriktivnih mjera dolazi do povećanja obima vanjskotrgovinske razmjene u FBiH, kako uvoza tako i izvoza (Tabela </w:t>
      </w:r>
      <w:r w:rsidR="004C0398" w:rsidRPr="00ED7B99">
        <w:rPr>
          <w:rFonts w:asciiTheme="majorHAnsi" w:hAnsiTheme="majorHAnsi" w:cstheme="majorHAnsi"/>
        </w:rPr>
        <w:t>4</w:t>
      </w:r>
      <w:r w:rsidRPr="00ED7B99">
        <w:rPr>
          <w:rFonts w:asciiTheme="majorHAnsi" w:hAnsiTheme="majorHAnsi" w:cstheme="majorHAnsi"/>
        </w:rPr>
        <w:t xml:space="preserve">.). </w:t>
      </w:r>
    </w:p>
    <w:p w14:paraId="3B411229" w14:textId="77777777" w:rsidR="00026C1B" w:rsidRDefault="00026C1B" w:rsidP="00026C1B">
      <w:pPr>
        <w:jc w:val="both"/>
        <w:rPr>
          <w:rFonts w:asciiTheme="majorHAnsi" w:hAnsiTheme="majorHAnsi" w:cstheme="majorHAnsi"/>
        </w:rPr>
      </w:pPr>
      <w:r w:rsidRPr="00ED7B99">
        <w:rPr>
          <w:rFonts w:asciiTheme="majorHAnsi" w:hAnsiTheme="majorHAnsi" w:cstheme="majorHAnsi"/>
        </w:rPr>
        <w:t xml:space="preserve">U 2021. godini u Federaciji BiH ostvaren je izvoz u ukupnom iznosu od 9.571 miliona  KM što je za 39,3% više u odnosu na izvoz u 2020. godini, dok je nivo ostvarenog uvoza 15.131 milion KM što je više za 29.5% u odnosu na 2020. godinu. Posljedično pokrivenost uvoza izvozom je iznosila 63,3% u 2021. godini. Ovo su ujedno najviši pokazatelji uvoza i izvoza FBiH u posmatranom petogodišnjem periodu. </w:t>
      </w:r>
    </w:p>
    <w:p w14:paraId="0CA441A6" w14:textId="41BCBF1D" w:rsidR="00026C1B" w:rsidRDefault="00026C1B" w:rsidP="00026C1B">
      <w:pPr>
        <w:jc w:val="both"/>
        <w:rPr>
          <w:rFonts w:asciiTheme="majorHAnsi" w:hAnsiTheme="majorHAnsi" w:cstheme="majorHAnsi"/>
        </w:rPr>
      </w:pPr>
      <w:r w:rsidRPr="00ED7B99">
        <w:rPr>
          <w:rFonts w:asciiTheme="majorHAnsi" w:hAnsiTheme="majorHAnsi" w:cstheme="majorHAnsi"/>
        </w:rPr>
        <w:t>Trgovinski deficit iznosio je 5,561 milion KM, te je prema podacima Federalnog zavoda za programiranje razvoja, učešće trgovinskog deficita u BDP-u FBiH u 2021. godini iznosilo 22,6%, što predstavlja povećanje za 0,6 procentnih poena u odnosu na prethodnu godinu, kad je učešće deficita u BDP-u iznosilo 21,6%. Prema istom izvoru, učešće Federacije BiH u ukupnom izvozu BiH za 2021. godinu iznosi 67,1% što je više za 1,7 procentnih poena u odnosu na prethodnu godinu, a u ukupnom uvozu 70,1% što je više za 0,9 procentnih poena</w:t>
      </w:r>
    </w:p>
    <w:p w14:paraId="00FCA0B1" w14:textId="77777777" w:rsidR="00026C1B" w:rsidRPr="00026C1B" w:rsidRDefault="00026C1B" w:rsidP="00026C1B">
      <w:pPr>
        <w:jc w:val="both"/>
        <w:rPr>
          <w:rFonts w:asciiTheme="majorHAnsi" w:hAnsiTheme="majorHAnsi" w:cstheme="majorHAnsi"/>
        </w:rPr>
      </w:pPr>
    </w:p>
    <w:p w14:paraId="78937140" w14:textId="347BAE1D"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4</w:t>
      </w:r>
      <w:r w:rsidR="0054018A" w:rsidRPr="00ED7B99">
        <w:rPr>
          <w:rFonts w:asciiTheme="majorHAnsi" w:hAnsiTheme="majorHAnsi" w:cstheme="majorHAnsi"/>
        </w:rPr>
        <w:fldChar w:fldCharType="end"/>
      </w:r>
      <w:r w:rsidRPr="00ED7B99">
        <w:rPr>
          <w:rFonts w:asciiTheme="majorHAnsi" w:hAnsiTheme="majorHAnsi" w:cstheme="majorHAnsi"/>
        </w:rPr>
        <w:t>. Vanjskotrgovinska razmjena Federacije BiH za period 2016-2020 godina</w:t>
      </w:r>
    </w:p>
    <w:tbl>
      <w:tblPr>
        <w:tblStyle w:val="a1"/>
        <w:tblW w:w="9220" w:type="dxa"/>
        <w:tblInd w:w="94" w:type="dxa"/>
        <w:tblBorders>
          <w:top w:val="single" w:sz="4" w:space="0" w:color="BDD9DE"/>
          <w:left w:val="single" w:sz="4" w:space="0" w:color="BDD9DE"/>
          <w:bottom w:val="single" w:sz="4" w:space="0" w:color="BDD9DE"/>
          <w:right w:val="single" w:sz="4" w:space="0" w:color="BDD9DE"/>
          <w:insideH w:val="single" w:sz="4" w:space="0" w:color="BDD9DE"/>
          <w:insideV w:val="single" w:sz="4" w:space="0" w:color="BDD9DE"/>
        </w:tblBorders>
        <w:tblLayout w:type="fixed"/>
        <w:tblLook w:val="0400" w:firstRow="0" w:lastRow="0" w:firstColumn="0" w:lastColumn="0" w:noHBand="0" w:noVBand="1"/>
      </w:tblPr>
      <w:tblGrid>
        <w:gridCol w:w="1148"/>
        <w:gridCol w:w="1614"/>
        <w:gridCol w:w="1614"/>
        <w:gridCol w:w="1615"/>
        <w:gridCol w:w="1614"/>
        <w:gridCol w:w="1615"/>
      </w:tblGrid>
      <w:tr w:rsidR="00E440CE" w:rsidRPr="00ED7B99" w14:paraId="224CBB54" w14:textId="77777777" w:rsidTr="00683004">
        <w:trPr>
          <w:trHeight w:val="315"/>
        </w:trPr>
        <w:tc>
          <w:tcPr>
            <w:tcW w:w="1148" w:type="dxa"/>
            <w:shd w:val="clear" w:color="auto" w:fill="BCD9DE" w:themeFill="accent5" w:themeFillTint="66"/>
            <w:vAlign w:val="center"/>
          </w:tcPr>
          <w:p w14:paraId="58C71F19"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 xml:space="preserve">Godina </w:t>
            </w:r>
          </w:p>
        </w:tc>
        <w:tc>
          <w:tcPr>
            <w:tcW w:w="1614" w:type="dxa"/>
            <w:shd w:val="clear" w:color="auto" w:fill="BCD9DE" w:themeFill="accent5" w:themeFillTint="66"/>
            <w:vAlign w:val="center"/>
          </w:tcPr>
          <w:p w14:paraId="6A00D746"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Izvoz</w:t>
            </w:r>
          </w:p>
          <w:p w14:paraId="3D4F866D"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(000 KM)</w:t>
            </w:r>
          </w:p>
        </w:tc>
        <w:tc>
          <w:tcPr>
            <w:tcW w:w="1614" w:type="dxa"/>
            <w:shd w:val="clear" w:color="auto" w:fill="BCD9DE" w:themeFill="accent5" w:themeFillTint="66"/>
            <w:vAlign w:val="center"/>
          </w:tcPr>
          <w:p w14:paraId="2EE4CFF3"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Uvoz</w:t>
            </w:r>
          </w:p>
          <w:p w14:paraId="1B0A7AA4"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(000 KM)</w:t>
            </w:r>
          </w:p>
        </w:tc>
        <w:tc>
          <w:tcPr>
            <w:tcW w:w="1615" w:type="dxa"/>
            <w:shd w:val="clear" w:color="auto" w:fill="BCD9DE" w:themeFill="accent5" w:themeFillTint="66"/>
            <w:vAlign w:val="center"/>
          </w:tcPr>
          <w:p w14:paraId="7C0FA57D"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Obim</w:t>
            </w:r>
          </w:p>
          <w:p w14:paraId="7F4CAA49"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(000 KM)</w:t>
            </w:r>
          </w:p>
        </w:tc>
        <w:tc>
          <w:tcPr>
            <w:tcW w:w="1614" w:type="dxa"/>
            <w:shd w:val="clear" w:color="auto" w:fill="BCD9DE" w:themeFill="accent5" w:themeFillTint="66"/>
            <w:vAlign w:val="center"/>
          </w:tcPr>
          <w:p w14:paraId="3B2DB8B7"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Saldo</w:t>
            </w:r>
          </w:p>
          <w:p w14:paraId="64142A9B"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(000 KM)</w:t>
            </w:r>
          </w:p>
        </w:tc>
        <w:tc>
          <w:tcPr>
            <w:tcW w:w="1615" w:type="dxa"/>
            <w:shd w:val="clear" w:color="auto" w:fill="BCD9DE" w:themeFill="accent5" w:themeFillTint="66"/>
            <w:vAlign w:val="center"/>
          </w:tcPr>
          <w:p w14:paraId="74B36C40"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Pokrivenost uvoza izvozom</w:t>
            </w:r>
          </w:p>
        </w:tc>
      </w:tr>
      <w:tr w:rsidR="00E440CE" w:rsidRPr="00ED7B99" w14:paraId="3EDB90D6" w14:textId="77777777">
        <w:trPr>
          <w:trHeight w:val="315"/>
        </w:trPr>
        <w:tc>
          <w:tcPr>
            <w:tcW w:w="1148" w:type="dxa"/>
            <w:shd w:val="clear" w:color="auto" w:fill="auto"/>
            <w:vAlign w:val="center"/>
          </w:tcPr>
          <w:p w14:paraId="74BB4487"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lastRenderedPageBreak/>
              <w:t>2016.</w:t>
            </w:r>
          </w:p>
        </w:tc>
        <w:tc>
          <w:tcPr>
            <w:tcW w:w="1614" w:type="dxa"/>
            <w:shd w:val="clear" w:color="auto" w:fill="auto"/>
            <w:vAlign w:val="bottom"/>
          </w:tcPr>
          <w:p w14:paraId="4F40E607"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6.258.481</w:t>
            </w:r>
          </w:p>
        </w:tc>
        <w:tc>
          <w:tcPr>
            <w:tcW w:w="1614" w:type="dxa"/>
            <w:shd w:val="clear" w:color="auto" w:fill="auto"/>
            <w:vAlign w:val="bottom"/>
          </w:tcPr>
          <w:p w14:paraId="07C58578"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10.867.858</w:t>
            </w:r>
          </w:p>
        </w:tc>
        <w:tc>
          <w:tcPr>
            <w:tcW w:w="1615" w:type="dxa"/>
            <w:shd w:val="clear" w:color="auto" w:fill="auto"/>
            <w:vAlign w:val="bottom"/>
          </w:tcPr>
          <w:p w14:paraId="3F9E07CA"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17.126.339</w:t>
            </w:r>
          </w:p>
        </w:tc>
        <w:tc>
          <w:tcPr>
            <w:tcW w:w="1614" w:type="dxa"/>
            <w:shd w:val="clear" w:color="auto" w:fill="auto"/>
            <w:vAlign w:val="bottom"/>
          </w:tcPr>
          <w:p w14:paraId="2C9D96E4"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-4.609.377</w:t>
            </w:r>
          </w:p>
        </w:tc>
        <w:tc>
          <w:tcPr>
            <w:tcW w:w="1615" w:type="dxa"/>
            <w:shd w:val="clear" w:color="auto" w:fill="auto"/>
            <w:vAlign w:val="bottom"/>
          </w:tcPr>
          <w:p w14:paraId="34B27FBF"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57,59%</w:t>
            </w:r>
          </w:p>
        </w:tc>
      </w:tr>
      <w:tr w:rsidR="00E440CE" w:rsidRPr="00ED7B99" w14:paraId="1CE0F799" w14:textId="77777777">
        <w:trPr>
          <w:trHeight w:val="315"/>
        </w:trPr>
        <w:tc>
          <w:tcPr>
            <w:tcW w:w="1148" w:type="dxa"/>
            <w:shd w:val="clear" w:color="auto" w:fill="auto"/>
            <w:vAlign w:val="center"/>
          </w:tcPr>
          <w:p w14:paraId="08504267"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2017.</w:t>
            </w:r>
          </w:p>
        </w:tc>
        <w:tc>
          <w:tcPr>
            <w:tcW w:w="1614" w:type="dxa"/>
            <w:shd w:val="clear" w:color="auto" w:fill="auto"/>
            <w:vAlign w:val="bottom"/>
          </w:tcPr>
          <w:p w14:paraId="0A102909"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7.247.873</w:t>
            </w:r>
          </w:p>
        </w:tc>
        <w:tc>
          <w:tcPr>
            <w:tcW w:w="1614" w:type="dxa"/>
            <w:shd w:val="clear" w:color="auto" w:fill="auto"/>
            <w:vAlign w:val="bottom"/>
          </w:tcPr>
          <w:p w14:paraId="2902F9EA"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12.386.860</w:t>
            </w:r>
          </w:p>
        </w:tc>
        <w:tc>
          <w:tcPr>
            <w:tcW w:w="1615" w:type="dxa"/>
            <w:shd w:val="clear" w:color="auto" w:fill="auto"/>
            <w:vAlign w:val="bottom"/>
          </w:tcPr>
          <w:p w14:paraId="723A4FF6"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19.634.733</w:t>
            </w:r>
          </w:p>
        </w:tc>
        <w:tc>
          <w:tcPr>
            <w:tcW w:w="1614" w:type="dxa"/>
            <w:shd w:val="clear" w:color="auto" w:fill="auto"/>
            <w:vAlign w:val="bottom"/>
          </w:tcPr>
          <w:p w14:paraId="421A74EC"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-5.138.987</w:t>
            </w:r>
          </w:p>
        </w:tc>
        <w:tc>
          <w:tcPr>
            <w:tcW w:w="1615" w:type="dxa"/>
            <w:shd w:val="clear" w:color="auto" w:fill="auto"/>
            <w:vAlign w:val="bottom"/>
          </w:tcPr>
          <w:p w14:paraId="0C045296"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58,51%</w:t>
            </w:r>
          </w:p>
        </w:tc>
      </w:tr>
      <w:tr w:rsidR="00E440CE" w:rsidRPr="00ED7B99" w14:paraId="619BAC22" w14:textId="77777777">
        <w:trPr>
          <w:trHeight w:val="315"/>
        </w:trPr>
        <w:tc>
          <w:tcPr>
            <w:tcW w:w="1148" w:type="dxa"/>
            <w:shd w:val="clear" w:color="auto" w:fill="auto"/>
            <w:vAlign w:val="center"/>
          </w:tcPr>
          <w:p w14:paraId="7D875769"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2018.</w:t>
            </w:r>
          </w:p>
        </w:tc>
        <w:tc>
          <w:tcPr>
            <w:tcW w:w="1614" w:type="dxa"/>
            <w:shd w:val="clear" w:color="auto" w:fill="auto"/>
            <w:vAlign w:val="bottom"/>
          </w:tcPr>
          <w:p w14:paraId="4C314524"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7.908.990</w:t>
            </w:r>
          </w:p>
        </w:tc>
        <w:tc>
          <w:tcPr>
            <w:tcW w:w="1614" w:type="dxa"/>
            <w:shd w:val="clear" w:color="auto" w:fill="auto"/>
            <w:vAlign w:val="bottom"/>
          </w:tcPr>
          <w:p w14:paraId="1936426F"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13.186.545</w:t>
            </w:r>
          </w:p>
        </w:tc>
        <w:tc>
          <w:tcPr>
            <w:tcW w:w="1615" w:type="dxa"/>
            <w:shd w:val="clear" w:color="auto" w:fill="auto"/>
            <w:vAlign w:val="bottom"/>
          </w:tcPr>
          <w:p w14:paraId="519F5352"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21.095.535</w:t>
            </w:r>
          </w:p>
        </w:tc>
        <w:tc>
          <w:tcPr>
            <w:tcW w:w="1614" w:type="dxa"/>
            <w:shd w:val="clear" w:color="auto" w:fill="auto"/>
            <w:vAlign w:val="bottom"/>
          </w:tcPr>
          <w:p w14:paraId="684C5710"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-5.277.555</w:t>
            </w:r>
          </w:p>
        </w:tc>
        <w:tc>
          <w:tcPr>
            <w:tcW w:w="1615" w:type="dxa"/>
            <w:shd w:val="clear" w:color="auto" w:fill="auto"/>
            <w:vAlign w:val="bottom"/>
          </w:tcPr>
          <w:p w14:paraId="53B4FEB1"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59,98%</w:t>
            </w:r>
          </w:p>
        </w:tc>
      </w:tr>
      <w:tr w:rsidR="00E440CE" w:rsidRPr="00ED7B99" w14:paraId="73821142" w14:textId="77777777">
        <w:trPr>
          <w:trHeight w:val="315"/>
        </w:trPr>
        <w:tc>
          <w:tcPr>
            <w:tcW w:w="1148" w:type="dxa"/>
            <w:shd w:val="clear" w:color="auto" w:fill="auto"/>
            <w:vAlign w:val="center"/>
          </w:tcPr>
          <w:p w14:paraId="2C277A68"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2019.</w:t>
            </w:r>
          </w:p>
        </w:tc>
        <w:tc>
          <w:tcPr>
            <w:tcW w:w="1614" w:type="dxa"/>
            <w:shd w:val="clear" w:color="auto" w:fill="auto"/>
            <w:vAlign w:val="bottom"/>
          </w:tcPr>
          <w:p w14:paraId="018FAA66"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7.616.017</w:t>
            </w:r>
          </w:p>
        </w:tc>
        <w:tc>
          <w:tcPr>
            <w:tcW w:w="1614" w:type="dxa"/>
            <w:shd w:val="clear" w:color="auto" w:fill="auto"/>
            <w:vAlign w:val="bottom"/>
          </w:tcPr>
          <w:p w14:paraId="7F88AA85"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13.755.216</w:t>
            </w:r>
          </w:p>
        </w:tc>
        <w:tc>
          <w:tcPr>
            <w:tcW w:w="1615" w:type="dxa"/>
            <w:shd w:val="clear" w:color="auto" w:fill="auto"/>
            <w:vAlign w:val="bottom"/>
          </w:tcPr>
          <w:p w14:paraId="3902BB9C"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21.371.233</w:t>
            </w:r>
          </w:p>
        </w:tc>
        <w:tc>
          <w:tcPr>
            <w:tcW w:w="1614" w:type="dxa"/>
            <w:shd w:val="clear" w:color="auto" w:fill="auto"/>
            <w:vAlign w:val="bottom"/>
          </w:tcPr>
          <w:p w14:paraId="38E42876"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-6.139.199</w:t>
            </w:r>
          </w:p>
        </w:tc>
        <w:tc>
          <w:tcPr>
            <w:tcW w:w="1615" w:type="dxa"/>
            <w:shd w:val="clear" w:color="auto" w:fill="auto"/>
            <w:vAlign w:val="bottom"/>
          </w:tcPr>
          <w:p w14:paraId="23F11A13"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55,37%</w:t>
            </w:r>
          </w:p>
        </w:tc>
      </w:tr>
      <w:tr w:rsidR="00E440CE" w:rsidRPr="00ED7B99" w14:paraId="1ED4B8CD" w14:textId="77777777">
        <w:trPr>
          <w:trHeight w:val="315"/>
        </w:trPr>
        <w:tc>
          <w:tcPr>
            <w:tcW w:w="1148" w:type="dxa"/>
            <w:shd w:val="clear" w:color="auto" w:fill="auto"/>
            <w:vAlign w:val="center"/>
          </w:tcPr>
          <w:p w14:paraId="5FDD005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2020.</w:t>
            </w:r>
          </w:p>
        </w:tc>
        <w:tc>
          <w:tcPr>
            <w:tcW w:w="1614" w:type="dxa"/>
            <w:shd w:val="clear" w:color="auto" w:fill="auto"/>
            <w:vAlign w:val="bottom"/>
          </w:tcPr>
          <w:p w14:paraId="3C6220A2"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6.865.723</w:t>
            </w:r>
          </w:p>
        </w:tc>
        <w:tc>
          <w:tcPr>
            <w:tcW w:w="1614" w:type="dxa"/>
            <w:shd w:val="clear" w:color="auto" w:fill="auto"/>
            <w:vAlign w:val="bottom"/>
          </w:tcPr>
          <w:p w14:paraId="1B8AAE56"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11.608.786</w:t>
            </w:r>
          </w:p>
        </w:tc>
        <w:tc>
          <w:tcPr>
            <w:tcW w:w="1615" w:type="dxa"/>
            <w:shd w:val="clear" w:color="auto" w:fill="auto"/>
            <w:vAlign w:val="bottom"/>
          </w:tcPr>
          <w:p w14:paraId="324ED7A9"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18.474.509</w:t>
            </w:r>
          </w:p>
        </w:tc>
        <w:tc>
          <w:tcPr>
            <w:tcW w:w="1614" w:type="dxa"/>
            <w:shd w:val="clear" w:color="auto" w:fill="auto"/>
            <w:vAlign w:val="bottom"/>
          </w:tcPr>
          <w:p w14:paraId="15B42DA3"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-4.743.063</w:t>
            </w:r>
          </w:p>
        </w:tc>
        <w:tc>
          <w:tcPr>
            <w:tcW w:w="1615" w:type="dxa"/>
            <w:shd w:val="clear" w:color="auto" w:fill="auto"/>
            <w:vAlign w:val="bottom"/>
          </w:tcPr>
          <w:p w14:paraId="3C478561"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59,14%</w:t>
            </w:r>
          </w:p>
        </w:tc>
      </w:tr>
      <w:tr w:rsidR="00E440CE" w:rsidRPr="00ED7B99" w14:paraId="3F22BD25" w14:textId="77777777">
        <w:trPr>
          <w:trHeight w:val="315"/>
        </w:trPr>
        <w:tc>
          <w:tcPr>
            <w:tcW w:w="1148" w:type="dxa"/>
            <w:shd w:val="clear" w:color="auto" w:fill="auto"/>
            <w:vAlign w:val="center"/>
          </w:tcPr>
          <w:p w14:paraId="61C24CC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2021.</w:t>
            </w:r>
          </w:p>
        </w:tc>
        <w:tc>
          <w:tcPr>
            <w:tcW w:w="1614" w:type="dxa"/>
            <w:shd w:val="clear" w:color="auto" w:fill="auto"/>
            <w:vAlign w:val="bottom"/>
          </w:tcPr>
          <w:p w14:paraId="7608C3B0"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9.571.099</w:t>
            </w:r>
          </w:p>
        </w:tc>
        <w:tc>
          <w:tcPr>
            <w:tcW w:w="1614" w:type="dxa"/>
            <w:shd w:val="clear" w:color="auto" w:fill="auto"/>
            <w:vAlign w:val="bottom"/>
          </w:tcPr>
          <w:p w14:paraId="49481CC4"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15.131.784</w:t>
            </w:r>
          </w:p>
        </w:tc>
        <w:tc>
          <w:tcPr>
            <w:tcW w:w="1615" w:type="dxa"/>
            <w:shd w:val="clear" w:color="auto" w:fill="auto"/>
            <w:vAlign w:val="bottom"/>
          </w:tcPr>
          <w:p w14:paraId="6E845F58"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24.702.883</w:t>
            </w:r>
          </w:p>
        </w:tc>
        <w:tc>
          <w:tcPr>
            <w:tcW w:w="1614" w:type="dxa"/>
            <w:shd w:val="clear" w:color="auto" w:fill="auto"/>
            <w:vAlign w:val="bottom"/>
          </w:tcPr>
          <w:p w14:paraId="674AB27F"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-5.560.685</w:t>
            </w:r>
          </w:p>
        </w:tc>
        <w:tc>
          <w:tcPr>
            <w:tcW w:w="1615" w:type="dxa"/>
            <w:shd w:val="clear" w:color="auto" w:fill="auto"/>
            <w:vAlign w:val="bottom"/>
          </w:tcPr>
          <w:p w14:paraId="37AE91F9" w14:textId="77777777" w:rsidR="00E440CE" w:rsidRPr="00ED7B99" w:rsidRDefault="003422A9">
            <w:pPr>
              <w:jc w:val="right"/>
              <w:rPr>
                <w:rFonts w:asciiTheme="majorHAnsi" w:hAnsiTheme="majorHAnsi" w:cstheme="majorHAnsi"/>
                <w:color w:val="000000"/>
                <w:sz w:val="20"/>
                <w:szCs w:val="20"/>
              </w:rPr>
            </w:pPr>
            <w:r w:rsidRPr="00ED7B99">
              <w:rPr>
                <w:rFonts w:asciiTheme="majorHAnsi" w:hAnsiTheme="majorHAnsi" w:cstheme="majorHAnsi"/>
                <w:color w:val="000000"/>
                <w:sz w:val="20"/>
                <w:szCs w:val="20"/>
              </w:rPr>
              <w:t>63,3%</w:t>
            </w:r>
          </w:p>
        </w:tc>
      </w:tr>
    </w:tbl>
    <w:p w14:paraId="32BF1D6B" w14:textId="77777777" w:rsidR="00E440CE" w:rsidRPr="00ED7B99" w:rsidRDefault="003422A9">
      <w:pPr>
        <w:rPr>
          <w:rFonts w:asciiTheme="majorHAnsi" w:hAnsiTheme="majorHAnsi" w:cstheme="majorHAnsi"/>
          <w:i/>
          <w:sz w:val="18"/>
          <w:szCs w:val="18"/>
        </w:rPr>
      </w:pPr>
      <w:r w:rsidRPr="00ED7B99">
        <w:rPr>
          <w:rFonts w:asciiTheme="majorHAnsi" w:hAnsiTheme="majorHAnsi" w:cstheme="majorHAnsi"/>
          <w:i/>
          <w:sz w:val="18"/>
          <w:szCs w:val="18"/>
        </w:rPr>
        <w:t xml:space="preserve">Izvor podataka: Federalni zavod za programiranje podataka, Makroekonomski pokazatelji po kantonima </w:t>
      </w:r>
    </w:p>
    <w:p w14:paraId="5DC913A7" w14:textId="77777777" w:rsidR="00026C1B" w:rsidRDefault="003422A9">
      <w:pPr>
        <w:jc w:val="both"/>
        <w:rPr>
          <w:rFonts w:asciiTheme="majorHAnsi" w:hAnsiTheme="majorHAnsi" w:cstheme="majorHAnsi"/>
        </w:rPr>
      </w:pPr>
      <w:r w:rsidRPr="00ED7B99">
        <w:rPr>
          <w:rFonts w:asciiTheme="majorHAnsi" w:hAnsiTheme="majorHAnsi" w:cstheme="majorHAnsi"/>
        </w:rPr>
        <w:t xml:space="preserve">Naredne tabele pokazuju vanjskotrgovinsku razmjenu Federacije Bosne i Hercegovine na nivou kantona. </w:t>
      </w:r>
    </w:p>
    <w:p w14:paraId="4E333085" w14:textId="7E8BDB44" w:rsidR="00026C1B" w:rsidRDefault="003422A9" w:rsidP="00026C1B">
      <w:pPr>
        <w:jc w:val="both"/>
        <w:rPr>
          <w:rFonts w:asciiTheme="majorHAnsi" w:hAnsiTheme="majorHAnsi" w:cstheme="majorHAnsi"/>
          <w:color w:val="000000"/>
        </w:rPr>
      </w:pPr>
      <w:r w:rsidRPr="00ED7B99">
        <w:rPr>
          <w:rFonts w:asciiTheme="majorHAnsi" w:hAnsiTheme="majorHAnsi" w:cstheme="majorHAnsi"/>
        </w:rPr>
        <w:t>Posmatrajući kategoriju izvoza, može se reći da najzačajniji udio u izvozu imaju Tuzlanski kanton, Zeničko-dobojski kanton te Kanton Sarajevo koji čine 59,9% ukupnog izvoza Federacije BiH u 2021. godini. Najveći rast izvoza u 2021. godini u odnosu na 2020. godinu zabilježen je na području Hercegovačko-neretvanskog kantona, koji je u 2021. godini iznosio 1.057.703.000 KM u odnosu na 480.967.000 KM ostv</w:t>
      </w:r>
      <w:r w:rsidR="00026C1B">
        <w:rPr>
          <w:rFonts w:asciiTheme="majorHAnsi" w:hAnsiTheme="majorHAnsi" w:cstheme="majorHAnsi"/>
        </w:rPr>
        <w:t>a</w:t>
      </w:r>
      <w:r w:rsidRPr="00ED7B99">
        <w:rPr>
          <w:rFonts w:asciiTheme="majorHAnsi" w:hAnsiTheme="majorHAnsi" w:cstheme="majorHAnsi"/>
        </w:rPr>
        <w:t>renih u 2020. godini</w:t>
      </w:r>
      <w:r w:rsidR="004C0398" w:rsidRPr="00ED7B99">
        <w:rPr>
          <w:rFonts w:asciiTheme="majorHAnsi" w:hAnsiTheme="majorHAnsi" w:cstheme="majorHAnsi"/>
        </w:rPr>
        <w:t>.</w:t>
      </w:r>
      <w:r w:rsidR="00026C1B" w:rsidRPr="00026C1B">
        <w:rPr>
          <w:rFonts w:asciiTheme="majorHAnsi" w:hAnsiTheme="majorHAnsi" w:cstheme="majorHAnsi"/>
          <w:color w:val="000000"/>
        </w:rPr>
        <w:t xml:space="preserve"> </w:t>
      </w:r>
    </w:p>
    <w:p w14:paraId="7A5C8E30" w14:textId="590490C6"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5</w:t>
      </w:r>
      <w:r w:rsidR="0054018A" w:rsidRPr="00ED7B99">
        <w:rPr>
          <w:rFonts w:asciiTheme="majorHAnsi" w:hAnsiTheme="majorHAnsi" w:cstheme="majorHAnsi"/>
        </w:rPr>
        <w:fldChar w:fldCharType="end"/>
      </w:r>
      <w:r w:rsidRPr="00ED7B99">
        <w:rPr>
          <w:rFonts w:asciiTheme="majorHAnsi" w:hAnsiTheme="majorHAnsi" w:cstheme="majorHAnsi"/>
        </w:rPr>
        <w:t>. Vrijednosti izvoza po kantonima Federacije BiH za period 2016-2021 godina</w:t>
      </w:r>
    </w:p>
    <w:tbl>
      <w:tblPr>
        <w:tblStyle w:val="a2"/>
        <w:tblW w:w="9246" w:type="dxa"/>
        <w:tblInd w:w="94" w:type="dxa"/>
        <w:tblLayout w:type="fixed"/>
        <w:tblLook w:val="0400" w:firstRow="0" w:lastRow="0" w:firstColumn="0" w:lastColumn="0" w:noHBand="0" w:noVBand="1"/>
      </w:tblPr>
      <w:tblGrid>
        <w:gridCol w:w="2567"/>
        <w:gridCol w:w="1146"/>
        <w:gridCol w:w="1142"/>
        <w:gridCol w:w="1157"/>
        <w:gridCol w:w="1142"/>
        <w:gridCol w:w="1146"/>
        <w:gridCol w:w="946"/>
      </w:tblGrid>
      <w:tr w:rsidR="00E440CE" w:rsidRPr="00ED7B99" w14:paraId="5F6303C7" w14:textId="77777777" w:rsidTr="00683004">
        <w:trPr>
          <w:trHeight w:val="315"/>
        </w:trPr>
        <w:tc>
          <w:tcPr>
            <w:tcW w:w="2567" w:type="dxa"/>
            <w:tcBorders>
              <w:top w:val="single" w:sz="8" w:space="0" w:color="BCD6EE"/>
              <w:left w:val="single" w:sz="8" w:space="0" w:color="BCD6EE"/>
              <w:bottom w:val="single" w:sz="8" w:space="0" w:color="BCD6EE"/>
              <w:right w:val="single" w:sz="8" w:space="0" w:color="BCD6EE"/>
            </w:tcBorders>
            <w:shd w:val="clear" w:color="auto" w:fill="BCD9DE" w:themeFill="accent5" w:themeFillTint="66"/>
            <w:vAlign w:val="center"/>
          </w:tcPr>
          <w:p w14:paraId="54F7E004"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w:t>
            </w:r>
          </w:p>
        </w:tc>
        <w:tc>
          <w:tcPr>
            <w:tcW w:w="5733" w:type="dxa"/>
            <w:gridSpan w:val="5"/>
            <w:tcBorders>
              <w:top w:val="single" w:sz="8" w:space="0" w:color="BCD6EE"/>
              <w:left w:val="nil"/>
              <w:bottom w:val="single" w:sz="8" w:space="0" w:color="BCD6EE"/>
              <w:right w:val="single" w:sz="8" w:space="0" w:color="BCD6EE"/>
            </w:tcBorders>
            <w:shd w:val="clear" w:color="auto" w:fill="BCD9DE" w:themeFill="accent5" w:themeFillTint="66"/>
            <w:vAlign w:val="center"/>
          </w:tcPr>
          <w:p w14:paraId="4459D8C3"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Izvoz (000 KM)</w:t>
            </w:r>
          </w:p>
        </w:tc>
        <w:tc>
          <w:tcPr>
            <w:tcW w:w="946" w:type="dxa"/>
            <w:tcBorders>
              <w:top w:val="single" w:sz="8" w:space="0" w:color="BCD6EE"/>
              <w:left w:val="nil"/>
              <w:bottom w:val="single" w:sz="8" w:space="0" w:color="BCD6EE"/>
              <w:right w:val="single" w:sz="8" w:space="0" w:color="BCD6EE"/>
            </w:tcBorders>
            <w:shd w:val="clear" w:color="auto" w:fill="BCD9DE" w:themeFill="accent5" w:themeFillTint="66"/>
          </w:tcPr>
          <w:p w14:paraId="45DD8C7A" w14:textId="77777777" w:rsidR="00E440CE" w:rsidRPr="00ED7B99" w:rsidRDefault="00E440CE">
            <w:pPr>
              <w:spacing w:after="0" w:line="240" w:lineRule="auto"/>
              <w:jc w:val="center"/>
              <w:rPr>
                <w:rFonts w:asciiTheme="majorHAnsi" w:hAnsiTheme="majorHAnsi" w:cstheme="majorHAnsi"/>
                <w:b/>
                <w:color w:val="000000"/>
                <w:sz w:val="18"/>
                <w:szCs w:val="18"/>
              </w:rPr>
            </w:pPr>
          </w:p>
        </w:tc>
      </w:tr>
      <w:tr w:rsidR="00E440CE" w:rsidRPr="00ED7B99" w14:paraId="567DF0F0"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7494D2DD" w14:textId="7A86DD4B" w:rsidR="00E440CE" w:rsidRPr="00ED7B99" w:rsidRDefault="00E440CE">
            <w:pPr>
              <w:spacing w:after="0" w:line="240" w:lineRule="auto"/>
              <w:jc w:val="center"/>
              <w:rPr>
                <w:rFonts w:asciiTheme="majorHAnsi" w:hAnsiTheme="majorHAnsi" w:cstheme="majorHAnsi"/>
                <w:color w:val="000000"/>
                <w:sz w:val="16"/>
                <w:szCs w:val="16"/>
              </w:rPr>
            </w:pPr>
          </w:p>
        </w:tc>
        <w:tc>
          <w:tcPr>
            <w:tcW w:w="1146" w:type="dxa"/>
            <w:tcBorders>
              <w:top w:val="nil"/>
              <w:left w:val="nil"/>
              <w:bottom w:val="single" w:sz="8" w:space="0" w:color="BCD6EE"/>
              <w:right w:val="single" w:sz="8" w:space="0" w:color="BCD6EE"/>
            </w:tcBorders>
            <w:shd w:val="clear" w:color="auto" w:fill="auto"/>
            <w:vAlign w:val="center"/>
          </w:tcPr>
          <w:p w14:paraId="0C6A65DE"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2016</w:t>
            </w:r>
          </w:p>
        </w:tc>
        <w:tc>
          <w:tcPr>
            <w:tcW w:w="1142" w:type="dxa"/>
            <w:tcBorders>
              <w:top w:val="nil"/>
              <w:left w:val="nil"/>
              <w:bottom w:val="single" w:sz="8" w:space="0" w:color="BCD6EE"/>
              <w:right w:val="single" w:sz="8" w:space="0" w:color="BCD6EE"/>
            </w:tcBorders>
            <w:shd w:val="clear" w:color="auto" w:fill="auto"/>
            <w:vAlign w:val="center"/>
          </w:tcPr>
          <w:p w14:paraId="68D2B99B"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2017</w:t>
            </w:r>
          </w:p>
        </w:tc>
        <w:tc>
          <w:tcPr>
            <w:tcW w:w="1157" w:type="dxa"/>
            <w:tcBorders>
              <w:top w:val="nil"/>
              <w:left w:val="nil"/>
              <w:bottom w:val="single" w:sz="8" w:space="0" w:color="BCD6EE"/>
              <w:right w:val="single" w:sz="8" w:space="0" w:color="BCD6EE"/>
            </w:tcBorders>
            <w:shd w:val="clear" w:color="auto" w:fill="auto"/>
            <w:vAlign w:val="center"/>
          </w:tcPr>
          <w:p w14:paraId="772765D8"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2018</w:t>
            </w:r>
          </w:p>
        </w:tc>
        <w:tc>
          <w:tcPr>
            <w:tcW w:w="1142" w:type="dxa"/>
            <w:tcBorders>
              <w:top w:val="nil"/>
              <w:left w:val="nil"/>
              <w:bottom w:val="single" w:sz="8" w:space="0" w:color="BCD6EE"/>
              <w:right w:val="single" w:sz="8" w:space="0" w:color="BCD6EE"/>
            </w:tcBorders>
            <w:shd w:val="clear" w:color="auto" w:fill="auto"/>
            <w:vAlign w:val="center"/>
          </w:tcPr>
          <w:p w14:paraId="3D7AF6F2"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2019</w:t>
            </w:r>
          </w:p>
        </w:tc>
        <w:tc>
          <w:tcPr>
            <w:tcW w:w="1146" w:type="dxa"/>
            <w:tcBorders>
              <w:top w:val="nil"/>
              <w:left w:val="nil"/>
              <w:bottom w:val="single" w:sz="8" w:space="0" w:color="BCD6EE"/>
              <w:right w:val="single" w:sz="8" w:space="0" w:color="BCD6EE"/>
            </w:tcBorders>
            <w:shd w:val="clear" w:color="auto" w:fill="auto"/>
            <w:vAlign w:val="center"/>
          </w:tcPr>
          <w:p w14:paraId="316075E9"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2020</w:t>
            </w:r>
          </w:p>
        </w:tc>
        <w:tc>
          <w:tcPr>
            <w:tcW w:w="946" w:type="dxa"/>
            <w:tcBorders>
              <w:top w:val="nil"/>
              <w:left w:val="nil"/>
              <w:bottom w:val="single" w:sz="8" w:space="0" w:color="BCD6EE"/>
              <w:right w:val="single" w:sz="8" w:space="0" w:color="BCD6EE"/>
            </w:tcBorders>
          </w:tcPr>
          <w:p w14:paraId="5C9836DF"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2021.</w:t>
            </w:r>
          </w:p>
        </w:tc>
      </w:tr>
      <w:tr w:rsidR="00E440CE" w:rsidRPr="00ED7B99" w14:paraId="2433DB9D"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3890FE8E"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Unsko - sanski</w:t>
            </w:r>
          </w:p>
        </w:tc>
        <w:tc>
          <w:tcPr>
            <w:tcW w:w="1146" w:type="dxa"/>
            <w:tcBorders>
              <w:top w:val="nil"/>
              <w:left w:val="nil"/>
              <w:bottom w:val="single" w:sz="8" w:space="0" w:color="BCD6EE"/>
              <w:right w:val="single" w:sz="8" w:space="0" w:color="BCD6EE"/>
            </w:tcBorders>
            <w:shd w:val="clear" w:color="auto" w:fill="auto"/>
            <w:vAlign w:val="center"/>
          </w:tcPr>
          <w:p w14:paraId="2D825F7C"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261.146    </w:t>
            </w:r>
          </w:p>
        </w:tc>
        <w:tc>
          <w:tcPr>
            <w:tcW w:w="1142" w:type="dxa"/>
            <w:tcBorders>
              <w:top w:val="nil"/>
              <w:left w:val="nil"/>
              <w:bottom w:val="single" w:sz="8" w:space="0" w:color="BCD6EE"/>
              <w:right w:val="single" w:sz="8" w:space="0" w:color="BCD6EE"/>
            </w:tcBorders>
            <w:shd w:val="clear" w:color="auto" w:fill="auto"/>
            <w:vAlign w:val="center"/>
          </w:tcPr>
          <w:p w14:paraId="7D95DFF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310.769    </w:t>
            </w:r>
          </w:p>
        </w:tc>
        <w:tc>
          <w:tcPr>
            <w:tcW w:w="1157" w:type="dxa"/>
            <w:tcBorders>
              <w:top w:val="nil"/>
              <w:left w:val="nil"/>
              <w:bottom w:val="single" w:sz="8" w:space="0" w:color="BCD6EE"/>
              <w:right w:val="single" w:sz="8" w:space="0" w:color="BCD6EE"/>
            </w:tcBorders>
            <w:shd w:val="clear" w:color="auto" w:fill="auto"/>
            <w:vAlign w:val="center"/>
          </w:tcPr>
          <w:p w14:paraId="79BE620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342.783    </w:t>
            </w:r>
          </w:p>
        </w:tc>
        <w:tc>
          <w:tcPr>
            <w:tcW w:w="1142" w:type="dxa"/>
            <w:tcBorders>
              <w:top w:val="nil"/>
              <w:left w:val="nil"/>
              <w:bottom w:val="single" w:sz="8" w:space="0" w:color="BCD6EE"/>
              <w:right w:val="single" w:sz="8" w:space="0" w:color="BCD6EE"/>
            </w:tcBorders>
            <w:shd w:val="clear" w:color="auto" w:fill="auto"/>
            <w:vAlign w:val="center"/>
          </w:tcPr>
          <w:p w14:paraId="17C43350"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385.647    </w:t>
            </w:r>
          </w:p>
        </w:tc>
        <w:tc>
          <w:tcPr>
            <w:tcW w:w="1146" w:type="dxa"/>
            <w:tcBorders>
              <w:top w:val="nil"/>
              <w:left w:val="nil"/>
              <w:bottom w:val="single" w:sz="8" w:space="0" w:color="BCD6EE"/>
              <w:right w:val="single" w:sz="8" w:space="0" w:color="BCD6EE"/>
            </w:tcBorders>
            <w:shd w:val="clear" w:color="auto" w:fill="auto"/>
            <w:vAlign w:val="center"/>
          </w:tcPr>
          <w:p w14:paraId="5CF14C8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367.141    </w:t>
            </w:r>
          </w:p>
        </w:tc>
        <w:tc>
          <w:tcPr>
            <w:tcW w:w="946" w:type="dxa"/>
            <w:tcBorders>
              <w:top w:val="nil"/>
              <w:left w:val="nil"/>
              <w:bottom w:val="single" w:sz="8" w:space="0" w:color="BCD6EE"/>
              <w:right w:val="single" w:sz="8" w:space="0" w:color="BCD6EE"/>
            </w:tcBorders>
          </w:tcPr>
          <w:p w14:paraId="30115698"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545.851</w:t>
            </w:r>
          </w:p>
        </w:tc>
      </w:tr>
      <w:tr w:rsidR="00E440CE" w:rsidRPr="00ED7B99" w14:paraId="426B846F"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747CDA11"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Posavski</w:t>
            </w:r>
          </w:p>
        </w:tc>
        <w:tc>
          <w:tcPr>
            <w:tcW w:w="1146" w:type="dxa"/>
            <w:tcBorders>
              <w:top w:val="nil"/>
              <w:left w:val="nil"/>
              <w:bottom w:val="single" w:sz="8" w:space="0" w:color="BCD6EE"/>
              <w:right w:val="single" w:sz="8" w:space="0" w:color="BCD6EE"/>
            </w:tcBorders>
            <w:shd w:val="clear" w:color="auto" w:fill="auto"/>
            <w:vAlign w:val="center"/>
          </w:tcPr>
          <w:p w14:paraId="74C6BBAE"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101.923    </w:t>
            </w:r>
          </w:p>
        </w:tc>
        <w:tc>
          <w:tcPr>
            <w:tcW w:w="1142" w:type="dxa"/>
            <w:tcBorders>
              <w:top w:val="nil"/>
              <w:left w:val="nil"/>
              <w:bottom w:val="single" w:sz="8" w:space="0" w:color="BCD6EE"/>
              <w:right w:val="single" w:sz="8" w:space="0" w:color="BCD6EE"/>
            </w:tcBorders>
            <w:shd w:val="clear" w:color="auto" w:fill="auto"/>
            <w:vAlign w:val="center"/>
          </w:tcPr>
          <w:p w14:paraId="071AE5A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125.955    </w:t>
            </w:r>
          </w:p>
        </w:tc>
        <w:tc>
          <w:tcPr>
            <w:tcW w:w="1157" w:type="dxa"/>
            <w:tcBorders>
              <w:top w:val="nil"/>
              <w:left w:val="nil"/>
              <w:bottom w:val="single" w:sz="8" w:space="0" w:color="BCD6EE"/>
              <w:right w:val="single" w:sz="8" w:space="0" w:color="BCD6EE"/>
            </w:tcBorders>
            <w:shd w:val="clear" w:color="auto" w:fill="auto"/>
            <w:vAlign w:val="center"/>
          </w:tcPr>
          <w:p w14:paraId="2DE89FE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125.344    </w:t>
            </w:r>
          </w:p>
        </w:tc>
        <w:tc>
          <w:tcPr>
            <w:tcW w:w="1142" w:type="dxa"/>
            <w:tcBorders>
              <w:top w:val="nil"/>
              <w:left w:val="nil"/>
              <w:bottom w:val="single" w:sz="8" w:space="0" w:color="BCD6EE"/>
              <w:right w:val="single" w:sz="8" w:space="0" w:color="BCD6EE"/>
            </w:tcBorders>
            <w:shd w:val="clear" w:color="auto" w:fill="auto"/>
            <w:vAlign w:val="center"/>
          </w:tcPr>
          <w:p w14:paraId="504BBDF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116.711    </w:t>
            </w:r>
          </w:p>
        </w:tc>
        <w:tc>
          <w:tcPr>
            <w:tcW w:w="1146" w:type="dxa"/>
            <w:tcBorders>
              <w:top w:val="nil"/>
              <w:left w:val="nil"/>
              <w:bottom w:val="single" w:sz="8" w:space="0" w:color="BCD6EE"/>
              <w:right w:val="single" w:sz="8" w:space="0" w:color="BCD6EE"/>
            </w:tcBorders>
            <w:shd w:val="clear" w:color="auto" w:fill="auto"/>
            <w:vAlign w:val="center"/>
          </w:tcPr>
          <w:p w14:paraId="04C333B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102.475    </w:t>
            </w:r>
          </w:p>
        </w:tc>
        <w:tc>
          <w:tcPr>
            <w:tcW w:w="946" w:type="dxa"/>
            <w:tcBorders>
              <w:top w:val="nil"/>
              <w:left w:val="nil"/>
              <w:bottom w:val="single" w:sz="8" w:space="0" w:color="BCD6EE"/>
              <w:right w:val="single" w:sz="8" w:space="0" w:color="BCD6EE"/>
            </w:tcBorders>
          </w:tcPr>
          <w:p w14:paraId="4FA32FBF"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132.930</w:t>
            </w:r>
          </w:p>
        </w:tc>
      </w:tr>
      <w:tr w:rsidR="00E440CE" w:rsidRPr="00ED7B99" w14:paraId="55DE0239"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31C46C31"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Tuzlanski</w:t>
            </w:r>
          </w:p>
        </w:tc>
        <w:tc>
          <w:tcPr>
            <w:tcW w:w="1146" w:type="dxa"/>
            <w:tcBorders>
              <w:top w:val="nil"/>
              <w:left w:val="nil"/>
              <w:bottom w:val="single" w:sz="8" w:space="0" w:color="BCD6EE"/>
              <w:right w:val="single" w:sz="8" w:space="0" w:color="BCD6EE"/>
            </w:tcBorders>
            <w:shd w:val="clear" w:color="auto" w:fill="auto"/>
            <w:vAlign w:val="center"/>
          </w:tcPr>
          <w:p w14:paraId="577773C8"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1.269.084    </w:t>
            </w:r>
          </w:p>
        </w:tc>
        <w:tc>
          <w:tcPr>
            <w:tcW w:w="1142" w:type="dxa"/>
            <w:tcBorders>
              <w:top w:val="nil"/>
              <w:left w:val="nil"/>
              <w:bottom w:val="single" w:sz="8" w:space="0" w:color="BCD6EE"/>
              <w:right w:val="single" w:sz="8" w:space="0" w:color="BCD6EE"/>
            </w:tcBorders>
            <w:shd w:val="clear" w:color="auto" w:fill="auto"/>
            <w:vAlign w:val="center"/>
          </w:tcPr>
          <w:p w14:paraId="1CA1B3A6"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1.548.913    </w:t>
            </w:r>
          </w:p>
        </w:tc>
        <w:tc>
          <w:tcPr>
            <w:tcW w:w="1157" w:type="dxa"/>
            <w:tcBorders>
              <w:top w:val="nil"/>
              <w:left w:val="nil"/>
              <w:bottom w:val="single" w:sz="8" w:space="0" w:color="BCD6EE"/>
              <w:right w:val="single" w:sz="8" w:space="0" w:color="BCD6EE"/>
            </w:tcBorders>
            <w:shd w:val="clear" w:color="auto" w:fill="auto"/>
            <w:vAlign w:val="center"/>
          </w:tcPr>
          <w:p w14:paraId="0275A1AE"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1.729.812    </w:t>
            </w:r>
          </w:p>
        </w:tc>
        <w:tc>
          <w:tcPr>
            <w:tcW w:w="1142" w:type="dxa"/>
            <w:tcBorders>
              <w:top w:val="nil"/>
              <w:left w:val="nil"/>
              <w:bottom w:val="single" w:sz="8" w:space="0" w:color="BCD6EE"/>
              <w:right w:val="single" w:sz="8" w:space="0" w:color="BCD6EE"/>
            </w:tcBorders>
            <w:shd w:val="clear" w:color="auto" w:fill="auto"/>
            <w:vAlign w:val="center"/>
          </w:tcPr>
          <w:p w14:paraId="75C8306D"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1.791.793    </w:t>
            </w:r>
          </w:p>
        </w:tc>
        <w:tc>
          <w:tcPr>
            <w:tcW w:w="1146" w:type="dxa"/>
            <w:tcBorders>
              <w:top w:val="nil"/>
              <w:left w:val="nil"/>
              <w:bottom w:val="single" w:sz="8" w:space="0" w:color="BCD6EE"/>
              <w:right w:val="single" w:sz="8" w:space="0" w:color="BCD6EE"/>
            </w:tcBorders>
            <w:shd w:val="clear" w:color="auto" w:fill="auto"/>
            <w:vAlign w:val="center"/>
          </w:tcPr>
          <w:p w14:paraId="1BF6C9DA"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1.671.315    </w:t>
            </w:r>
          </w:p>
        </w:tc>
        <w:tc>
          <w:tcPr>
            <w:tcW w:w="946" w:type="dxa"/>
            <w:tcBorders>
              <w:top w:val="nil"/>
              <w:left w:val="nil"/>
              <w:bottom w:val="single" w:sz="8" w:space="0" w:color="BCD6EE"/>
              <w:right w:val="single" w:sz="8" w:space="0" w:color="BCD6EE"/>
            </w:tcBorders>
          </w:tcPr>
          <w:p w14:paraId="65AA6B2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2.076.750</w:t>
            </w:r>
          </w:p>
        </w:tc>
      </w:tr>
      <w:tr w:rsidR="00E440CE" w:rsidRPr="00ED7B99" w14:paraId="5B62B671"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410827FD"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Zeničko-dobojski</w:t>
            </w:r>
          </w:p>
        </w:tc>
        <w:tc>
          <w:tcPr>
            <w:tcW w:w="1146" w:type="dxa"/>
            <w:tcBorders>
              <w:top w:val="nil"/>
              <w:left w:val="nil"/>
              <w:bottom w:val="single" w:sz="8" w:space="0" w:color="BCD6EE"/>
              <w:right w:val="single" w:sz="8" w:space="0" w:color="BCD6EE"/>
            </w:tcBorders>
            <w:shd w:val="clear" w:color="auto" w:fill="auto"/>
            <w:vAlign w:val="center"/>
          </w:tcPr>
          <w:p w14:paraId="70F2E23C"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1.582.027    </w:t>
            </w:r>
          </w:p>
        </w:tc>
        <w:tc>
          <w:tcPr>
            <w:tcW w:w="1142" w:type="dxa"/>
            <w:tcBorders>
              <w:top w:val="nil"/>
              <w:left w:val="nil"/>
              <w:bottom w:val="single" w:sz="8" w:space="0" w:color="BCD6EE"/>
              <w:right w:val="single" w:sz="8" w:space="0" w:color="BCD6EE"/>
            </w:tcBorders>
            <w:shd w:val="clear" w:color="auto" w:fill="auto"/>
            <w:vAlign w:val="center"/>
          </w:tcPr>
          <w:p w14:paraId="30DE030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1.483.111    </w:t>
            </w:r>
          </w:p>
        </w:tc>
        <w:tc>
          <w:tcPr>
            <w:tcW w:w="1157" w:type="dxa"/>
            <w:tcBorders>
              <w:top w:val="nil"/>
              <w:left w:val="nil"/>
              <w:bottom w:val="single" w:sz="8" w:space="0" w:color="BCD6EE"/>
              <w:right w:val="single" w:sz="8" w:space="0" w:color="BCD6EE"/>
            </w:tcBorders>
            <w:shd w:val="clear" w:color="auto" w:fill="auto"/>
            <w:vAlign w:val="center"/>
          </w:tcPr>
          <w:p w14:paraId="5026ADF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1.709.002    </w:t>
            </w:r>
          </w:p>
        </w:tc>
        <w:tc>
          <w:tcPr>
            <w:tcW w:w="1142" w:type="dxa"/>
            <w:tcBorders>
              <w:top w:val="nil"/>
              <w:left w:val="nil"/>
              <w:bottom w:val="single" w:sz="8" w:space="0" w:color="BCD6EE"/>
              <w:right w:val="single" w:sz="8" w:space="0" w:color="BCD6EE"/>
            </w:tcBorders>
            <w:shd w:val="clear" w:color="auto" w:fill="auto"/>
            <w:vAlign w:val="center"/>
          </w:tcPr>
          <w:p w14:paraId="76EC735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1.534.714    </w:t>
            </w:r>
          </w:p>
        </w:tc>
        <w:tc>
          <w:tcPr>
            <w:tcW w:w="1146" w:type="dxa"/>
            <w:tcBorders>
              <w:top w:val="nil"/>
              <w:left w:val="nil"/>
              <w:bottom w:val="single" w:sz="8" w:space="0" w:color="BCD6EE"/>
              <w:right w:val="single" w:sz="8" w:space="0" w:color="BCD6EE"/>
            </w:tcBorders>
            <w:shd w:val="clear" w:color="auto" w:fill="auto"/>
            <w:vAlign w:val="center"/>
          </w:tcPr>
          <w:p w14:paraId="681264B7"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1.379.718    </w:t>
            </w:r>
          </w:p>
        </w:tc>
        <w:tc>
          <w:tcPr>
            <w:tcW w:w="946" w:type="dxa"/>
            <w:tcBorders>
              <w:top w:val="nil"/>
              <w:left w:val="nil"/>
              <w:bottom w:val="single" w:sz="8" w:space="0" w:color="BCD6EE"/>
              <w:right w:val="single" w:sz="8" w:space="0" w:color="BCD6EE"/>
            </w:tcBorders>
          </w:tcPr>
          <w:p w14:paraId="24AEA7A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2.003.527</w:t>
            </w:r>
          </w:p>
        </w:tc>
      </w:tr>
      <w:tr w:rsidR="00E440CE" w:rsidRPr="00ED7B99" w14:paraId="63A71126"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74FDE1CB"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Bosansko-podrinjski</w:t>
            </w:r>
          </w:p>
        </w:tc>
        <w:tc>
          <w:tcPr>
            <w:tcW w:w="1146" w:type="dxa"/>
            <w:tcBorders>
              <w:top w:val="nil"/>
              <w:left w:val="nil"/>
              <w:bottom w:val="single" w:sz="8" w:space="0" w:color="BCD6EE"/>
              <w:right w:val="single" w:sz="8" w:space="0" w:color="BCD6EE"/>
            </w:tcBorders>
            <w:shd w:val="clear" w:color="auto" w:fill="auto"/>
            <w:vAlign w:val="center"/>
          </w:tcPr>
          <w:p w14:paraId="4ACC134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150.485    </w:t>
            </w:r>
          </w:p>
        </w:tc>
        <w:tc>
          <w:tcPr>
            <w:tcW w:w="1142" w:type="dxa"/>
            <w:tcBorders>
              <w:top w:val="nil"/>
              <w:left w:val="nil"/>
              <w:bottom w:val="single" w:sz="8" w:space="0" w:color="BCD6EE"/>
              <w:right w:val="single" w:sz="8" w:space="0" w:color="BCD6EE"/>
            </w:tcBorders>
            <w:shd w:val="clear" w:color="auto" w:fill="auto"/>
            <w:vAlign w:val="center"/>
          </w:tcPr>
          <w:p w14:paraId="120D097A"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165.691    </w:t>
            </w:r>
          </w:p>
        </w:tc>
        <w:tc>
          <w:tcPr>
            <w:tcW w:w="1157" w:type="dxa"/>
            <w:tcBorders>
              <w:top w:val="nil"/>
              <w:left w:val="nil"/>
              <w:bottom w:val="single" w:sz="8" w:space="0" w:color="BCD6EE"/>
              <w:right w:val="single" w:sz="8" w:space="0" w:color="BCD6EE"/>
            </w:tcBorders>
            <w:shd w:val="clear" w:color="auto" w:fill="auto"/>
            <w:vAlign w:val="center"/>
          </w:tcPr>
          <w:p w14:paraId="19315002"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159.046    </w:t>
            </w:r>
          </w:p>
        </w:tc>
        <w:tc>
          <w:tcPr>
            <w:tcW w:w="1142" w:type="dxa"/>
            <w:tcBorders>
              <w:top w:val="nil"/>
              <w:left w:val="nil"/>
              <w:bottom w:val="single" w:sz="8" w:space="0" w:color="BCD6EE"/>
              <w:right w:val="single" w:sz="8" w:space="0" w:color="BCD6EE"/>
            </w:tcBorders>
            <w:shd w:val="clear" w:color="auto" w:fill="auto"/>
            <w:vAlign w:val="center"/>
          </w:tcPr>
          <w:p w14:paraId="13D72988"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176.469    </w:t>
            </w:r>
          </w:p>
        </w:tc>
        <w:tc>
          <w:tcPr>
            <w:tcW w:w="1146" w:type="dxa"/>
            <w:tcBorders>
              <w:top w:val="nil"/>
              <w:left w:val="nil"/>
              <w:bottom w:val="single" w:sz="8" w:space="0" w:color="BCD6EE"/>
              <w:right w:val="single" w:sz="8" w:space="0" w:color="BCD6EE"/>
            </w:tcBorders>
            <w:shd w:val="clear" w:color="auto" w:fill="auto"/>
            <w:vAlign w:val="center"/>
          </w:tcPr>
          <w:p w14:paraId="406100DA"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161.434    </w:t>
            </w:r>
          </w:p>
        </w:tc>
        <w:tc>
          <w:tcPr>
            <w:tcW w:w="946" w:type="dxa"/>
            <w:tcBorders>
              <w:top w:val="nil"/>
              <w:left w:val="nil"/>
              <w:bottom w:val="single" w:sz="8" w:space="0" w:color="BCD6EE"/>
              <w:right w:val="single" w:sz="8" w:space="0" w:color="BCD6EE"/>
            </w:tcBorders>
          </w:tcPr>
          <w:p w14:paraId="646A78BF"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230.242</w:t>
            </w:r>
          </w:p>
        </w:tc>
      </w:tr>
      <w:tr w:rsidR="00E440CE" w:rsidRPr="00ED7B99" w14:paraId="02165B59"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1B49CFE0"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Srednjobosanski</w:t>
            </w:r>
          </w:p>
        </w:tc>
        <w:tc>
          <w:tcPr>
            <w:tcW w:w="1146" w:type="dxa"/>
            <w:tcBorders>
              <w:top w:val="nil"/>
              <w:left w:val="nil"/>
              <w:bottom w:val="single" w:sz="8" w:space="0" w:color="BCD6EE"/>
              <w:right w:val="single" w:sz="8" w:space="0" w:color="BCD6EE"/>
            </w:tcBorders>
            <w:shd w:val="clear" w:color="auto" w:fill="auto"/>
            <w:vAlign w:val="center"/>
          </w:tcPr>
          <w:p w14:paraId="79B87B8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702.350    </w:t>
            </w:r>
          </w:p>
        </w:tc>
        <w:tc>
          <w:tcPr>
            <w:tcW w:w="1142" w:type="dxa"/>
            <w:tcBorders>
              <w:top w:val="nil"/>
              <w:left w:val="nil"/>
              <w:bottom w:val="single" w:sz="8" w:space="0" w:color="BCD6EE"/>
              <w:right w:val="single" w:sz="8" w:space="0" w:color="BCD6EE"/>
            </w:tcBorders>
            <w:shd w:val="clear" w:color="auto" w:fill="auto"/>
            <w:vAlign w:val="center"/>
          </w:tcPr>
          <w:p w14:paraId="35679188"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715.158    </w:t>
            </w:r>
          </w:p>
        </w:tc>
        <w:tc>
          <w:tcPr>
            <w:tcW w:w="1157" w:type="dxa"/>
            <w:tcBorders>
              <w:top w:val="nil"/>
              <w:left w:val="nil"/>
              <w:bottom w:val="single" w:sz="8" w:space="0" w:color="BCD6EE"/>
              <w:right w:val="single" w:sz="8" w:space="0" w:color="BCD6EE"/>
            </w:tcBorders>
            <w:shd w:val="clear" w:color="auto" w:fill="auto"/>
            <w:vAlign w:val="center"/>
          </w:tcPr>
          <w:p w14:paraId="6146DDC1"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770.048    </w:t>
            </w:r>
          </w:p>
        </w:tc>
        <w:tc>
          <w:tcPr>
            <w:tcW w:w="1142" w:type="dxa"/>
            <w:tcBorders>
              <w:top w:val="nil"/>
              <w:left w:val="nil"/>
              <w:bottom w:val="single" w:sz="8" w:space="0" w:color="BCD6EE"/>
              <w:right w:val="single" w:sz="8" w:space="0" w:color="BCD6EE"/>
            </w:tcBorders>
            <w:shd w:val="clear" w:color="auto" w:fill="auto"/>
            <w:vAlign w:val="center"/>
          </w:tcPr>
          <w:p w14:paraId="76B61CA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728.575    </w:t>
            </w:r>
          </w:p>
        </w:tc>
        <w:tc>
          <w:tcPr>
            <w:tcW w:w="1146" w:type="dxa"/>
            <w:tcBorders>
              <w:top w:val="nil"/>
              <w:left w:val="nil"/>
              <w:bottom w:val="single" w:sz="8" w:space="0" w:color="BCD6EE"/>
              <w:right w:val="single" w:sz="8" w:space="0" w:color="BCD6EE"/>
            </w:tcBorders>
            <w:shd w:val="clear" w:color="auto" w:fill="auto"/>
            <w:vAlign w:val="center"/>
          </w:tcPr>
          <w:p w14:paraId="437680A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671.209    </w:t>
            </w:r>
          </w:p>
        </w:tc>
        <w:tc>
          <w:tcPr>
            <w:tcW w:w="946" w:type="dxa"/>
            <w:tcBorders>
              <w:top w:val="nil"/>
              <w:left w:val="nil"/>
              <w:bottom w:val="single" w:sz="8" w:space="0" w:color="BCD6EE"/>
              <w:right w:val="single" w:sz="8" w:space="0" w:color="BCD6EE"/>
            </w:tcBorders>
          </w:tcPr>
          <w:p w14:paraId="3432208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819.890</w:t>
            </w:r>
          </w:p>
        </w:tc>
      </w:tr>
      <w:tr w:rsidR="00E440CE" w:rsidRPr="00ED7B99" w14:paraId="4080C26E"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2EBB0E5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Hercegovačko- neretvanski</w:t>
            </w:r>
          </w:p>
        </w:tc>
        <w:tc>
          <w:tcPr>
            <w:tcW w:w="1146" w:type="dxa"/>
            <w:tcBorders>
              <w:top w:val="nil"/>
              <w:left w:val="nil"/>
              <w:bottom w:val="single" w:sz="8" w:space="0" w:color="BCD6EE"/>
              <w:right w:val="single" w:sz="8" w:space="0" w:color="BCD6EE"/>
            </w:tcBorders>
            <w:shd w:val="clear" w:color="auto" w:fill="auto"/>
            <w:vAlign w:val="center"/>
          </w:tcPr>
          <w:p w14:paraId="592120FA"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651.641    </w:t>
            </w:r>
          </w:p>
        </w:tc>
        <w:tc>
          <w:tcPr>
            <w:tcW w:w="1142" w:type="dxa"/>
            <w:tcBorders>
              <w:top w:val="nil"/>
              <w:left w:val="nil"/>
              <w:bottom w:val="single" w:sz="8" w:space="0" w:color="BCD6EE"/>
              <w:right w:val="single" w:sz="8" w:space="0" w:color="BCD6EE"/>
            </w:tcBorders>
            <w:shd w:val="clear" w:color="auto" w:fill="auto"/>
            <w:vAlign w:val="center"/>
          </w:tcPr>
          <w:p w14:paraId="66FB08B6"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784.529    </w:t>
            </w:r>
          </w:p>
        </w:tc>
        <w:tc>
          <w:tcPr>
            <w:tcW w:w="1157" w:type="dxa"/>
            <w:tcBorders>
              <w:top w:val="nil"/>
              <w:left w:val="nil"/>
              <w:bottom w:val="single" w:sz="8" w:space="0" w:color="BCD6EE"/>
              <w:right w:val="single" w:sz="8" w:space="0" w:color="BCD6EE"/>
            </w:tcBorders>
            <w:shd w:val="clear" w:color="auto" w:fill="auto"/>
            <w:vAlign w:val="center"/>
          </w:tcPr>
          <w:p w14:paraId="478A0B8D"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863.117    </w:t>
            </w:r>
          </w:p>
        </w:tc>
        <w:tc>
          <w:tcPr>
            <w:tcW w:w="1142" w:type="dxa"/>
            <w:tcBorders>
              <w:top w:val="nil"/>
              <w:left w:val="nil"/>
              <w:bottom w:val="single" w:sz="8" w:space="0" w:color="BCD6EE"/>
              <w:right w:val="single" w:sz="8" w:space="0" w:color="BCD6EE"/>
            </w:tcBorders>
            <w:shd w:val="clear" w:color="auto" w:fill="auto"/>
            <w:vAlign w:val="center"/>
          </w:tcPr>
          <w:p w14:paraId="15EA0D7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721.180    </w:t>
            </w:r>
          </w:p>
        </w:tc>
        <w:tc>
          <w:tcPr>
            <w:tcW w:w="1146" w:type="dxa"/>
            <w:tcBorders>
              <w:top w:val="nil"/>
              <w:left w:val="nil"/>
              <w:bottom w:val="single" w:sz="8" w:space="0" w:color="BCD6EE"/>
              <w:right w:val="single" w:sz="8" w:space="0" w:color="BCD6EE"/>
            </w:tcBorders>
            <w:shd w:val="clear" w:color="auto" w:fill="auto"/>
            <w:vAlign w:val="center"/>
          </w:tcPr>
          <w:p w14:paraId="4F1387FD"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480.967    </w:t>
            </w:r>
          </w:p>
        </w:tc>
        <w:tc>
          <w:tcPr>
            <w:tcW w:w="946" w:type="dxa"/>
            <w:tcBorders>
              <w:top w:val="nil"/>
              <w:left w:val="nil"/>
              <w:bottom w:val="single" w:sz="8" w:space="0" w:color="BCD6EE"/>
              <w:right w:val="single" w:sz="8" w:space="0" w:color="BCD6EE"/>
            </w:tcBorders>
          </w:tcPr>
          <w:p w14:paraId="3B54D51E"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1.057.703</w:t>
            </w:r>
          </w:p>
        </w:tc>
      </w:tr>
      <w:tr w:rsidR="00E440CE" w:rsidRPr="00ED7B99" w14:paraId="1B842CD7"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26AFCA55"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Zapadnohercegovački</w:t>
            </w:r>
          </w:p>
        </w:tc>
        <w:tc>
          <w:tcPr>
            <w:tcW w:w="1146" w:type="dxa"/>
            <w:tcBorders>
              <w:top w:val="nil"/>
              <w:left w:val="nil"/>
              <w:bottom w:val="single" w:sz="8" w:space="0" w:color="BCD6EE"/>
              <w:right w:val="single" w:sz="8" w:space="0" w:color="BCD6EE"/>
            </w:tcBorders>
            <w:shd w:val="clear" w:color="auto" w:fill="auto"/>
            <w:vAlign w:val="center"/>
          </w:tcPr>
          <w:p w14:paraId="40F1E696"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402.257    </w:t>
            </w:r>
          </w:p>
        </w:tc>
        <w:tc>
          <w:tcPr>
            <w:tcW w:w="1142" w:type="dxa"/>
            <w:tcBorders>
              <w:top w:val="nil"/>
              <w:left w:val="nil"/>
              <w:bottom w:val="single" w:sz="8" w:space="0" w:color="BCD6EE"/>
              <w:right w:val="single" w:sz="8" w:space="0" w:color="BCD6EE"/>
            </w:tcBorders>
            <w:shd w:val="clear" w:color="auto" w:fill="auto"/>
            <w:vAlign w:val="center"/>
          </w:tcPr>
          <w:p w14:paraId="1B27DBD1"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517.213    </w:t>
            </w:r>
          </w:p>
        </w:tc>
        <w:tc>
          <w:tcPr>
            <w:tcW w:w="1157" w:type="dxa"/>
            <w:tcBorders>
              <w:top w:val="nil"/>
              <w:left w:val="nil"/>
              <w:bottom w:val="single" w:sz="8" w:space="0" w:color="BCD6EE"/>
              <w:right w:val="single" w:sz="8" w:space="0" w:color="BCD6EE"/>
            </w:tcBorders>
            <w:shd w:val="clear" w:color="auto" w:fill="auto"/>
            <w:vAlign w:val="center"/>
          </w:tcPr>
          <w:p w14:paraId="632893CD"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571.985    </w:t>
            </w:r>
          </w:p>
        </w:tc>
        <w:tc>
          <w:tcPr>
            <w:tcW w:w="1142" w:type="dxa"/>
            <w:tcBorders>
              <w:top w:val="nil"/>
              <w:left w:val="nil"/>
              <w:bottom w:val="single" w:sz="8" w:space="0" w:color="BCD6EE"/>
              <w:right w:val="single" w:sz="8" w:space="0" w:color="BCD6EE"/>
            </w:tcBorders>
            <w:shd w:val="clear" w:color="auto" w:fill="auto"/>
            <w:vAlign w:val="center"/>
          </w:tcPr>
          <w:p w14:paraId="26BB0620"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626.515    </w:t>
            </w:r>
          </w:p>
        </w:tc>
        <w:tc>
          <w:tcPr>
            <w:tcW w:w="1146" w:type="dxa"/>
            <w:tcBorders>
              <w:top w:val="nil"/>
              <w:left w:val="nil"/>
              <w:bottom w:val="single" w:sz="8" w:space="0" w:color="BCD6EE"/>
              <w:right w:val="single" w:sz="8" w:space="0" w:color="BCD6EE"/>
            </w:tcBorders>
            <w:shd w:val="clear" w:color="auto" w:fill="auto"/>
            <w:vAlign w:val="center"/>
          </w:tcPr>
          <w:p w14:paraId="6FE6CD9E"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621.010    </w:t>
            </w:r>
          </w:p>
        </w:tc>
        <w:tc>
          <w:tcPr>
            <w:tcW w:w="946" w:type="dxa"/>
            <w:tcBorders>
              <w:top w:val="nil"/>
              <w:left w:val="nil"/>
              <w:bottom w:val="single" w:sz="8" w:space="0" w:color="BCD6EE"/>
              <w:right w:val="single" w:sz="8" w:space="0" w:color="BCD6EE"/>
            </w:tcBorders>
          </w:tcPr>
          <w:p w14:paraId="046B17FE"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898.292</w:t>
            </w:r>
          </w:p>
        </w:tc>
      </w:tr>
      <w:tr w:rsidR="00E440CE" w:rsidRPr="00ED7B99" w14:paraId="0B0CDD2B"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38B8E51C"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Sarajevo</w:t>
            </w:r>
          </w:p>
        </w:tc>
        <w:tc>
          <w:tcPr>
            <w:tcW w:w="1146" w:type="dxa"/>
            <w:tcBorders>
              <w:top w:val="nil"/>
              <w:left w:val="nil"/>
              <w:bottom w:val="single" w:sz="8" w:space="0" w:color="BCD6EE"/>
              <w:right w:val="single" w:sz="8" w:space="0" w:color="BCD6EE"/>
            </w:tcBorders>
            <w:shd w:val="clear" w:color="auto" w:fill="auto"/>
            <w:vAlign w:val="center"/>
          </w:tcPr>
          <w:p w14:paraId="283A3512"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1.039.692    </w:t>
            </w:r>
          </w:p>
        </w:tc>
        <w:tc>
          <w:tcPr>
            <w:tcW w:w="1142" w:type="dxa"/>
            <w:tcBorders>
              <w:top w:val="nil"/>
              <w:left w:val="nil"/>
              <w:bottom w:val="single" w:sz="8" w:space="0" w:color="BCD6EE"/>
              <w:right w:val="single" w:sz="8" w:space="0" w:color="BCD6EE"/>
            </w:tcBorders>
            <w:shd w:val="clear" w:color="auto" w:fill="auto"/>
            <w:vAlign w:val="center"/>
          </w:tcPr>
          <w:p w14:paraId="5C12BB78"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1.518.519    </w:t>
            </w:r>
          </w:p>
        </w:tc>
        <w:tc>
          <w:tcPr>
            <w:tcW w:w="1157" w:type="dxa"/>
            <w:tcBorders>
              <w:top w:val="nil"/>
              <w:left w:val="nil"/>
              <w:bottom w:val="single" w:sz="8" w:space="0" w:color="BCD6EE"/>
              <w:right w:val="single" w:sz="8" w:space="0" w:color="BCD6EE"/>
            </w:tcBorders>
            <w:shd w:val="clear" w:color="auto" w:fill="auto"/>
            <w:vAlign w:val="center"/>
          </w:tcPr>
          <w:p w14:paraId="55AED2D1"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1.540.435    </w:t>
            </w:r>
          </w:p>
        </w:tc>
        <w:tc>
          <w:tcPr>
            <w:tcW w:w="1142" w:type="dxa"/>
            <w:tcBorders>
              <w:top w:val="nil"/>
              <w:left w:val="nil"/>
              <w:bottom w:val="single" w:sz="8" w:space="0" w:color="BCD6EE"/>
              <w:right w:val="single" w:sz="8" w:space="0" w:color="BCD6EE"/>
            </w:tcBorders>
            <w:shd w:val="clear" w:color="auto" w:fill="auto"/>
            <w:vAlign w:val="center"/>
          </w:tcPr>
          <w:p w14:paraId="2EDA8F2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1.427.496    </w:t>
            </w:r>
          </w:p>
        </w:tc>
        <w:tc>
          <w:tcPr>
            <w:tcW w:w="1146" w:type="dxa"/>
            <w:tcBorders>
              <w:top w:val="nil"/>
              <w:left w:val="nil"/>
              <w:bottom w:val="single" w:sz="8" w:space="0" w:color="BCD6EE"/>
              <w:right w:val="single" w:sz="8" w:space="0" w:color="BCD6EE"/>
            </w:tcBorders>
            <w:shd w:val="clear" w:color="auto" w:fill="auto"/>
            <w:vAlign w:val="center"/>
          </w:tcPr>
          <w:p w14:paraId="11B3260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1.308.666    </w:t>
            </w:r>
          </w:p>
        </w:tc>
        <w:tc>
          <w:tcPr>
            <w:tcW w:w="946" w:type="dxa"/>
            <w:tcBorders>
              <w:top w:val="nil"/>
              <w:left w:val="nil"/>
              <w:bottom w:val="single" w:sz="8" w:space="0" w:color="BCD6EE"/>
              <w:right w:val="single" w:sz="8" w:space="0" w:color="BCD6EE"/>
            </w:tcBorders>
          </w:tcPr>
          <w:p w14:paraId="20C6F0B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1.659.651</w:t>
            </w:r>
          </w:p>
        </w:tc>
      </w:tr>
      <w:tr w:rsidR="00E440CE" w:rsidRPr="00ED7B99" w14:paraId="481E933C" w14:textId="77777777">
        <w:trPr>
          <w:trHeight w:val="315"/>
        </w:trPr>
        <w:tc>
          <w:tcPr>
            <w:tcW w:w="2567" w:type="dxa"/>
            <w:tcBorders>
              <w:top w:val="nil"/>
              <w:left w:val="single" w:sz="8" w:space="0" w:color="BCD6EE"/>
              <w:bottom w:val="single" w:sz="8" w:space="0" w:color="BCD6EE"/>
              <w:right w:val="single" w:sz="8" w:space="0" w:color="BCD6EE"/>
            </w:tcBorders>
            <w:shd w:val="clear" w:color="auto" w:fill="auto"/>
            <w:vAlign w:val="center"/>
          </w:tcPr>
          <w:p w14:paraId="078D81CF"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10</w:t>
            </w:r>
          </w:p>
        </w:tc>
        <w:tc>
          <w:tcPr>
            <w:tcW w:w="1146" w:type="dxa"/>
            <w:tcBorders>
              <w:top w:val="nil"/>
              <w:left w:val="nil"/>
              <w:bottom w:val="single" w:sz="8" w:space="0" w:color="BCD6EE"/>
              <w:right w:val="single" w:sz="8" w:space="0" w:color="BCD6EE"/>
            </w:tcBorders>
            <w:shd w:val="clear" w:color="auto" w:fill="auto"/>
            <w:vAlign w:val="center"/>
          </w:tcPr>
          <w:p w14:paraId="5AB984BD"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95.860    </w:t>
            </w:r>
          </w:p>
        </w:tc>
        <w:tc>
          <w:tcPr>
            <w:tcW w:w="1142" w:type="dxa"/>
            <w:tcBorders>
              <w:top w:val="nil"/>
              <w:left w:val="nil"/>
              <w:bottom w:val="single" w:sz="8" w:space="0" w:color="BCD6EE"/>
              <w:right w:val="single" w:sz="8" w:space="0" w:color="BCD6EE"/>
            </w:tcBorders>
            <w:shd w:val="clear" w:color="auto" w:fill="auto"/>
            <w:vAlign w:val="center"/>
          </w:tcPr>
          <w:p w14:paraId="1A263CC0"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75.998    </w:t>
            </w:r>
          </w:p>
        </w:tc>
        <w:tc>
          <w:tcPr>
            <w:tcW w:w="1157" w:type="dxa"/>
            <w:tcBorders>
              <w:top w:val="nil"/>
              <w:left w:val="nil"/>
              <w:bottom w:val="single" w:sz="8" w:space="0" w:color="BCD6EE"/>
              <w:right w:val="single" w:sz="8" w:space="0" w:color="BCD6EE"/>
            </w:tcBorders>
            <w:shd w:val="clear" w:color="auto" w:fill="auto"/>
            <w:vAlign w:val="center"/>
          </w:tcPr>
          <w:p w14:paraId="47F54F6A"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95.400    </w:t>
            </w:r>
          </w:p>
        </w:tc>
        <w:tc>
          <w:tcPr>
            <w:tcW w:w="1142" w:type="dxa"/>
            <w:tcBorders>
              <w:top w:val="nil"/>
              <w:left w:val="nil"/>
              <w:bottom w:val="single" w:sz="8" w:space="0" w:color="BCD6EE"/>
              <w:right w:val="single" w:sz="8" w:space="0" w:color="BCD6EE"/>
            </w:tcBorders>
            <w:shd w:val="clear" w:color="auto" w:fill="auto"/>
            <w:vAlign w:val="center"/>
          </w:tcPr>
          <w:p w14:paraId="28F48228"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104.898    </w:t>
            </w:r>
          </w:p>
        </w:tc>
        <w:tc>
          <w:tcPr>
            <w:tcW w:w="1146" w:type="dxa"/>
            <w:tcBorders>
              <w:top w:val="nil"/>
              <w:left w:val="nil"/>
              <w:bottom w:val="single" w:sz="8" w:space="0" w:color="BCD6EE"/>
              <w:right w:val="single" w:sz="8" w:space="0" w:color="BCD6EE"/>
            </w:tcBorders>
            <w:shd w:val="clear" w:color="auto" w:fill="auto"/>
            <w:vAlign w:val="center"/>
          </w:tcPr>
          <w:p w14:paraId="4731FA8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99.768    </w:t>
            </w:r>
          </w:p>
        </w:tc>
        <w:tc>
          <w:tcPr>
            <w:tcW w:w="946" w:type="dxa"/>
            <w:tcBorders>
              <w:top w:val="nil"/>
              <w:left w:val="nil"/>
              <w:bottom w:val="single" w:sz="8" w:space="0" w:color="BCD6EE"/>
              <w:right w:val="single" w:sz="8" w:space="0" w:color="BCD6EE"/>
            </w:tcBorders>
          </w:tcPr>
          <w:p w14:paraId="6365814F"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134.025</w:t>
            </w:r>
          </w:p>
        </w:tc>
      </w:tr>
      <w:tr w:rsidR="00E440CE" w:rsidRPr="00ED7B99" w14:paraId="373C70D9" w14:textId="77777777" w:rsidTr="00683004">
        <w:trPr>
          <w:trHeight w:val="315"/>
        </w:trPr>
        <w:tc>
          <w:tcPr>
            <w:tcW w:w="2567"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58032EF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Federacija BiH</w:t>
            </w:r>
          </w:p>
        </w:tc>
        <w:tc>
          <w:tcPr>
            <w:tcW w:w="1146" w:type="dxa"/>
            <w:tcBorders>
              <w:top w:val="nil"/>
              <w:left w:val="nil"/>
              <w:bottom w:val="single" w:sz="8" w:space="0" w:color="BCD6EE"/>
              <w:right w:val="single" w:sz="8" w:space="0" w:color="BCD6EE"/>
            </w:tcBorders>
            <w:shd w:val="clear" w:color="auto" w:fill="BCD9DE" w:themeFill="accent5" w:themeFillTint="66"/>
            <w:vAlign w:val="center"/>
          </w:tcPr>
          <w:p w14:paraId="0D2DFFE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6.258.481    </w:t>
            </w:r>
          </w:p>
        </w:tc>
        <w:tc>
          <w:tcPr>
            <w:tcW w:w="1142" w:type="dxa"/>
            <w:tcBorders>
              <w:top w:val="nil"/>
              <w:left w:val="nil"/>
              <w:bottom w:val="single" w:sz="8" w:space="0" w:color="BCD6EE"/>
              <w:right w:val="single" w:sz="8" w:space="0" w:color="BCD6EE"/>
            </w:tcBorders>
            <w:shd w:val="clear" w:color="auto" w:fill="BCD9DE" w:themeFill="accent5" w:themeFillTint="66"/>
            <w:vAlign w:val="center"/>
          </w:tcPr>
          <w:p w14:paraId="38BF9EB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7.247.873    </w:t>
            </w:r>
          </w:p>
        </w:tc>
        <w:tc>
          <w:tcPr>
            <w:tcW w:w="1157" w:type="dxa"/>
            <w:tcBorders>
              <w:top w:val="nil"/>
              <w:left w:val="nil"/>
              <w:bottom w:val="single" w:sz="8" w:space="0" w:color="BCD6EE"/>
              <w:right w:val="single" w:sz="8" w:space="0" w:color="BCD6EE"/>
            </w:tcBorders>
            <w:shd w:val="clear" w:color="auto" w:fill="BCD9DE" w:themeFill="accent5" w:themeFillTint="66"/>
            <w:vAlign w:val="center"/>
          </w:tcPr>
          <w:p w14:paraId="2A385268"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7.908.990    </w:t>
            </w:r>
          </w:p>
        </w:tc>
        <w:tc>
          <w:tcPr>
            <w:tcW w:w="1142" w:type="dxa"/>
            <w:tcBorders>
              <w:top w:val="nil"/>
              <w:left w:val="nil"/>
              <w:bottom w:val="single" w:sz="8" w:space="0" w:color="BCD6EE"/>
              <w:right w:val="single" w:sz="8" w:space="0" w:color="BCD6EE"/>
            </w:tcBorders>
            <w:shd w:val="clear" w:color="auto" w:fill="BCD9DE" w:themeFill="accent5" w:themeFillTint="66"/>
            <w:vAlign w:val="center"/>
          </w:tcPr>
          <w:p w14:paraId="4DBE32A7"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7.616.017    </w:t>
            </w:r>
          </w:p>
        </w:tc>
        <w:tc>
          <w:tcPr>
            <w:tcW w:w="1146" w:type="dxa"/>
            <w:tcBorders>
              <w:top w:val="nil"/>
              <w:left w:val="nil"/>
              <w:bottom w:val="single" w:sz="8" w:space="0" w:color="BCD6EE"/>
              <w:right w:val="single" w:sz="8" w:space="0" w:color="BCD6EE"/>
            </w:tcBorders>
            <w:shd w:val="clear" w:color="auto" w:fill="BCD9DE" w:themeFill="accent5" w:themeFillTint="66"/>
            <w:vAlign w:val="center"/>
          </w:tcPr>
          <w:p w14:paraId="14AA0677"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6.865.723    </w:t>
            </w:r>
          </w:p>
        </w:tc>
        <w:tc>
          <w:tcPr>
            <w:tcW w:w="946" w:type="dxa"/>
            <w:tcBorders>
              <w:top w:val="nil"/>
              <w:left w:val="nil"/>
              <w:bottom w:val="single" w:sz="8" w:space="0" w:color="BCD6EE"/>
              <w:right w:val="single" w:sz="8" w:space="0" w:color="BCD6EE"/>
            </w:tcBorders>
            <w:shd w:val="clear" w:color="auto" w:fill="BCD9DE" w:themeFill="accent5" w:themeFillTint="66"/>
          </w:tcPr>
          <w:p w14:paraId="59C6B5E1"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9.571.099</w:t>
            </w:r>
          </w:p>
        </w:tc>
      </w:tr>
    </w:tbl>
    <w:p w14:paraId="24C21531" w14:textId="7B17249A" w:rsidR="00E440CE" w:rsidRDefault="003422A9">
      <w:pPr>
        <w:rPr>
          <w:rFonts w:asciiTheme="majorHAnsi" w:hAnsiTheme="majorHAnsi" w:cstheme="majorHAnsi"/>
          <w:i/>
          <w:sz w:val="20"/>
          <w:szCs w:val="20"/>
        </w:rPr>
      </w:pPr>
      <w:r w:rsidRPr="00ED7B99">
        <w:rPr>
          <w:rFonts w:asciiTheme="majorHAnsi" w:hAnsiTheme="majorHAnsi" w:cstheme="majorHAnsi"/>
          <w:i/>
          <w:sz w:val="20"/>
          <w:szCs w:val="20"/>
        </w:rPr>
        <w:t xml:space="preserve">Izvor podataka: Federalni zavod za programiranje podataka, Makroekonomski pokazatelji po kantonima </w:t>
      </w:r>
    </w:p>
    <w:p w14:paraId="6E85B3F4" w14:textId="33EA543E" w:rsidR="00026C1B" w:rsidRDefault="00026C1B" w:rsidP="00026C1B">
      <w:pPr>
        <w:jc w:val="both"/>
        <w:rPr>
          <w:rFonts w:asciiTheme="majorHAnsi" w:hAnsiTheme="majorHAnsi" w:cstheme="majorHAnsi"/>
          <w:color w:val="000000"/>
        </w:rPr>
      </w:pPr>
      <w:r w:rsidRPr="00ED7B99">
        <w:rPr>
          <w:rFonts w:asciiTheme="majorHAnsi" w:hAnsiTheme="majorHAnsi" w:cstheme="majorHAnsi"/>
        </w:rPr>
        <w:t>Povećanje uvoza u 2021. godini u odnosu na 2020. godini bilježi se u svim kantonima FBiH, a najviše, kao u slučaju izvoza, u Hercegovačko-neretvanskom kantonu za 52,5%</w:t>
      </w:r>
      <w:r w:rsidR="00637429">
        <w:rPr>
          <w:rFonts w:asciiTheme="majorHAnsi" w:hAnsiTheme="majorHAnsi" w:cstheme="majorHAnsi"/>
        </w:rPr>
        <w:t xml:space="preserve">, </w:t>
      </w:r>
      <w:r w:rsidRPr="00ED7B99">
        <w:rPr>
          <w:rFonts w:asciiTheme="majorHAnsi" w:hAnsiTheme="majorHAnsi" w:cstheme="majorHAnsi"/>
        </w:rPr>
        <w:t>dok je najmanje povećanje uvoza zabilježeno u Kantonu 10 za 17,3% u odnosu na 2020. godinu</w:t>
      </w:r>
    </w:p>
    <w:p w14:paraId="0D7577E8" w14:textId="48DC716E" w:rsidR="00026C1B" w:rsidRPr="00026C1B" w:rsidRDefault="00026C1B" w:rsidP="00026C1B">
      <w:pPr>
        <w:jc w:val="both"/>
        <w:rPr>
          <w:rFonts w:asciiTheme="majorHAnsi" w:hAnsiTheme="majorHAnsi" w:cstheme="majorHAnsi"/>
          <w:color w:val="000000"/>
        </w:rPr>
      </w:pPr>
      <w:r w:rsidRPr="00ED7B99">
        <w:rPr>
          <w:rFonts w:asciiTheme="majorHAnsi" w:hAnsiTheme="majorHAnsi" w:cstheme="majorHAnsi"/>
          <w:color w:val="000000"/>
        </w:rPr>
        <w:t xml:space="preserve">Najveće učešće u uvozu Federacije BiH imaju Kanton Sarajevo i Tuzlanski kanton dok najmanje učešće ima Kanton 10  i Bosansko-podrinjski kanton (Tabela 6.).  </w:t>
      </w:r>
      <w:r>
        <w:rPr>
          <w:rFonts w:asciiTheme="majorHAnsi" w:hAnsiTheme="majorHAnsi" w:cstheme="majorHAnsi"/>
        </w:rPr>
        <w:t xml:space="preserve">Međutim, u </w:t>
      </w:r>
      <w:r w:rsidRPr="009734C8">
        <w:rPr>
          <w:rFonts w:asciiTheme="majorHAnsi" w:hAnsiTheme="majorHAnsi" w:cstheme="majorHAnsi"/>
        </w:rPr>
        <w:t>Kantonu Sarajevo su skoncentrirane velike trgovinske kompanije koje vrše uvoz strateških proizvoda i energije za potrebe ćitave Bosne i Hercegovine (Energopetrol, Ina, Petrol, Mercator, Konzum, Elektroprivreda BiH), pa podatke o uvozu u smislu potrošnje treba prihvatiti uvjetno.</w:t>
      </w:r>
      <w:r>
        <w:rPr>
          <w:rFonts w:asciiTheme="majorHAnsi" w:hAnsiTheme="majorHAnsi" w:cstheme="majorHAnsi"/>
        </w:rPr>
        <w:t xml:space="preserve"> </w:t>
      </w:r>
      <w:r w:rsidRPr="009734C8">
        <w:rPr>
          <w:rFonts w:asciiTheme="majorHAnsi" w:hAnsiTheme="majorHAnsi" w:cstheme="majorHAnsi"/>
        </w:rPr>
        <w:t xml:space="preserve">S druge strane podaci o </w:t>
      </w:r>
      <w:r>
        <w:rPr>
          <w:rFonts w:asciiTheme="majorHAnsi" w:hAnsiTheme="majorHAnsi" w:cstheme="majorHAnsi"/>
        </w:rPr>
        <w:t>i</w:t>
      </w:r>
      <w:r w:rsidRPr="009734C8">
        <w:rPr>
          <w:rFonts w:asciiTheme="majorHAnsi" w:hAnsiTheme="majorHAnsi" w:cstheme="majorHAnsi"/>
        </w:rPr>
        <w:t>zvozu su mnogo više vezani za stvarne lokacije ostvarenja izvoza, pa zato i samu pokrivenost uvoza izvozom treba promatrati u tom kontekstu.</w:t>
      </w:r>
    </w:p>
    <w:p w14:paraId="7021E98B" w14:textId="39681A33"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lastRenderedPageBreak/>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6</w:t>
      </w:r>
      <w:r w:rsidR="0054018A" w:rsidRPr="00ED7B99">
        <w:rPr>
          <w:rFonts w:asciiTheme="majorHAnsi" w:hAnsiTheme="majorHAnsi" w:cstheme="majorHAnsi"/>
        </w:rPr>
        <w:fldChar w:fldCharType="end"/>
      </w:r>
      <w:r w:rsidRPr="00ED7B99">
        <w:rPr>
          <w:rFonts w:asciiTheme="majorHAnsi" w:hAnsiTheme="majorHAnsi" w:cstheme="majorHAnsi"/>
        </w:rPr>
        <w:t>. Vrijednosti uvoza po kantonima Federacije BiH za period 2016-2021 godina</w:t>
      </w:r>
    </w:p>
    <w:tbl>
      <w:tblPr>
        <w:tblStyle w:val="a3"/>
        <w:tblW w:w="9394" w:type="dxa"/>
        <w:tblInd w:w="94" w:type="dxa"/>
        <w:tblLayout w:type="fixed"/>
        <w:tblLook w:val="0400" w:firstRow="0" w:lastRow="0" w:firstColumn="0" w:lastColumn="0" w:noHBand="0" w:noVBand="1"/>
      </w:tblPr>
      <w:tblGrid>
        <w:gridCol w:w="2474"/>
        <w:gridCol w:w="1156"/>
        <w:gridCol w:w="1156"/>
        <w:gridCol w:w="1141"/>
        <w:gridCol w:w="1134"/>
        <w:gridCol w:w="1148"/>
        <w:gridCol w:w="1185"/>
      </w:tblGrid>
      <w:tr w:rsidR="00E440CE" w:rsidRPr="00ED7B99" w14:paraId="72214438" w14:textId="77777777" w:rsidTr="00026C1B">
        <w:trPr>
          <w:trHeight w:val="315"/>
        </w:trPr>
        <w:tc>
          <w:tcPr>
            <w:tcW w:w="2474" w:type="dxa"/>
            <w:tcBorders>
              <w:top w:val="single" w:sz="8" w:space="0" w:color="BCD6EE"/>
              <w:left w:val="single" w:sz="8" w:space="0" w:color="BCD6EE"/>
              <w:bottom w:val="single" w:sz="8" w:space="0" w:color="BCD6EE"/>
              <w:right w:val="single" w:sz="8" w:space="0" w:color="BCD6EE"/>
            </w:tcBorders>
            <w:shd w:val="clear" w:color="auto" w:fill="BCD9DE" w:themeFill="accent5" w:themeFillTint="66"/>
            <w:vAlign w:val="center"/>
          </w:tcPr>
          <w:p w14:paraId="70212699"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w:t>
            </w:r>
          </w:p>
        </w:tc>
        <w:tc>
          <w:tcPr>
            <w:tcW w:w="5735" w:type="dxa"/>
            <w:gridSpan w:val="5"/>
            <w:tcBorders>
              <w:top w:val="single" w:sz="8" w:space="0" w:color="BCD6EE"/>
              <w:left w:val="nil"/>
              <w:bottom w:val="single" w:sz="8" w:space="0" w:color="BCD6EE"/>
              <w:right w:val="single" w:sz="8" w:space="0" w:color="BCD6EE"/>
            </w:tcBorders>
            <w:shd w:val="clear" w:color="auto" w:fill="BCD9DE" w:themeFill="accent5" w:themeFillTint="66"/>
            <w:vAlign w:val="center"/>
          </w:tcPr>
          <w:p w14:paraId="42D2AE39"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Uvoz (000 KM)</w:t>
            </w:r>
          </w:p>
        </w:tc>
        <w:tc>
          <w:tcPr>
            <w:tcW w:w="1185" w:type="dxa"/>
            <w:tcBorders>
              <w:top w:val="single" w:sz="8" w:space="0" w:color="BCD6EE"/>
              <w:left w:val="nil"/>
              <w:bottom w:val="single" w:sz="8" w:space="0" w:color="BCD6EE"/>
              <w:right w:val="single" w:sz="8" w:space="0" w:color="BCD6EE"/>
            </w:tcBorders>
            <w:shd w:val="clear" w:color="auto" w:fill="BCD9DE" w:themeFill="accent5" w:themeFillTint="66"/>
          </w:tcPr>
          <w:p w14:paraId="27729740" w14:textId="77777777" w:rsidR="00E440CE" w:rsidRPr="00ED7B99" w:rsidRDefault="00E440CE">
            <w:pPr>
              <w:spacing w:after="0" w:line="240" w:lineRule="auto"/>
              <w:jc w:val="center"/>
              <w:rPr>
                <w:rFonts w:asciiTheme="majorHAnsi" w:hAnsiTheme="majorHAnsi" w:cstheme="majorHAnsi"/>
                <w:b/>
                <w:color w:val="000000"/>
                <w:sz w:val="18"/>
                <w:szCs w:val="18"/>
              </w:rPr>
            </w:pPr>
          </w:p>
        </w:tc>
      </w:tr>
      <w:tr w:rsidR="00E440CE" w:rsidRPr="00ED7B99" w14:paraId="57140292"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01430D9C"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1</w:t>
            </w:r>
          </w:p>
        </w:tc>
        <w:tc>
          <w:tcPr>
            <w:tcW w:w="1156" w:type="dxa"/>
            <w:tcBorders>
              <w:top w:val="nil"/>
              <w:left w:val="nil"/>
              <w:bottom w:val="single" w:sz="8" w:space="0" w:color="BCD6EE"/>
              <w:right w:val="single" w:sz="8" w:space="0" w:color="BCD6EE"/>
            </w:tcBorders>
            <w:shd w:val="clear" w:color="auto" w:fill="auto"/>
            <w:vAlign w:val="center"/>
          </w:tcPr>
          <w:p w14:paraId="046DD77E"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2016</w:t>
            </w:r>
          </w:p>
        </w:tc>
        <w:tc>
          <w:tcPr>
            <w:tcW w:w="1156" w:type="dxa"/>
            <w:tcBorders>
              <w:top w:val="nil"/>
              <w:left w:val="nil"/>
              <w:bottom w:val="single" w:sz="8" w:space="0" w:color="BCD6EE"/>
              <w:right w:val="single" w:sz="8" w:space="0" w:color="BCD6EE"/>
            </w:tcBorders>
            <w:shd w:val="clear" w:color="auto" w:fill="auto"/>
            <w:vAlign w:val="center"/>
          </w:tcPr>
          <w:p w14:paraId="04F0AAA2"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2017</w:t>
            </w:r>
          </w:p>
        </w:tc>
        <w:tc>
          <w:tcPr>
            <w:tcW w:w="1141" w:type="dxa"/>
            <w:tcBorders>
              <w:top w:val="nil"/>
              <w:left w:val="nil"/>
              <w:bottom w:val="single" w:sz="8" w:space="0" w:color="BCD6EE"/>
              <w:right w:val="single" w:sz="8" w:space="0" w:color="BCD6EE"/>
            </w:tcBorders>
            <w:shd w:val="clear" w:color="auto" w:fill="auto"/>
            <w:vAlign w:val="center"/>
          </w:tcPr>
          <w:p w14:paraId="1FCECE1F"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2018</w:t>
            </w:r>
          </w:p>
        </w:tc>
        <w:tc>
          <w:tcPr>
            <w:tcW w:w="1134" w:type="dxa"/>
            <w:tcBorders>
              <w:top w:val="nil"/>
              <w:left w:val="nil"/>
              <w:bottom w:val="single" w:sz="8" w:space="0" w:color="BCD6EE"/>
              <w:right w:val="single" w:sz="8" w:space="0" w:color="BCD6EE"/>
            </w:tcBorders>
            <w:shd w:val="clear" w:color="auto" w:fill="auto"/>
            <w:vAlign w:val="center"/>
          </w:tcPr>
          <w:p w14:paraId="5BC6377B"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2019</w:t>
            </w:r>
          </w:p>
        </w:tc>
        <w:tc>
          <w:tcPr>
            <w:tcW w:w="1148" w:type="dxa"/>
            <w:tcBorders>
              <w:top w:val="nil"/>
              <w:left w:val="nil"/>
              <w:bottom w:val="single" w:sz="8" w:space="0" w:color="BCD6EE"/>
              <w:right w:val="single" w:sz="8" w:space="0" w:color="BCD6EE"/>
            </w:tcBorders>
            <w:shd w:val="clear" w:color="auto" w:fill="auto"/>
            <w:vAlign w:val="center"/>
          </w:tcPr>
          <w:p w14:paraId="5E4B453F"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2020</w:t>
            </w:r>
          </w:p>
        </w:tc>
        <w:tc>
          <w:tcPr>
            <w:tcW w:w="1185" w:type="dxa"/>
            <w:tcBorders>
              <w:top w:val="nil"/>
              <w:left w:val="nil"/>
              <w:bottom w:val="single" w:sz="8" w:space="0" w:color="BCD6EE"/>
              <w:right w:val="single" w:sz="8" w:space="0" w:color="BCD6EE"/>
            </w:tcBorders>
          </w:tcPr>
          <w:p w14:paraId="08AC5A61" w14:textId="3D02EBC2" w:rsidR="00E440CE" w:rsidRPr="00ED7B99" w:rsidRDefault="00587DEE">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2021</w:t>
            </w:r>
          </w:p>
        </w:tc>
      </w:tr>
      <w:tr w:rsidR="00E440CE" w:rsidRPr="00ED7B99" w14:paraId="500D97D4"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35B371E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Unsko - sanski</w:t>
            </w:r>
          </w:p>
        </w:tc>
        <w:tc>
          <w:tcPr>
            <w:tcW w:w="1156" w:type="dxa"/>
            <w:tcBorders>
              <w:top w:val="nil"/>
              <w:left w:val="nil"/>
              <w:bottom w:val="single" w:sz="8" w:space="0" w:color="BCD6EE"/>
              <w:right w:val="single" w:sz="8" w:space="0" w:color="BCD6EE"/>
            </w:tcBorders>
            <w:shd w:val="clear" w:color="auto" w:fill="auto"/>
            <w:vAlign w:val="center"/>
          </w:tcPr>
          <w:p w14:paraId="4024B295"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351.554    </w:t>
            </w:r>
          </w:p>
        </w:tc>
        <w:tc>
          <w:tcPr>
            <w:tcW w:w="1156" w:type="dxa"/>
            <w:tcBorders>
              <w:top w:val="nil"/>
              <w:left w:val="nil"/>
              <w:bottom w:val="single" w:sz="8" w:space="0" w:color="BCD6EE"/>
              <w:right w:val="single" w:sz="8" w:space="0" w:color="BCD6EE"/>
            </w:tcBorders>
            <w:shd w:val="clear" w:color="auto" w:fill="auto"/>
            <w:vAlign w:val="center"/>
          </w:tcPr>
          <w:p w14:paraId="5AE3E2E8"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372.235    </w:t>
            </w:r>
          </w:p>
        </w:tc>
        <w:tc>
          <w:tcPr>
            <w:tcW w:w="1141" w:type="dxa"/>
            <w:tcBorders>
              <w:top w:val="nil"/>
              <w:left w:val="nil"/>
              <w:bottom w:val="single" w:sz="8" w:space="0" w:color="BCD6EE"/>
              <w:right w:val="single" w:sz="8" w:space="0" w:color="BCD6EE"/>
            </w:tcBorders>
            <w:shd w:val="clear" w:color="auto" w:fill="auto"/>
            <w:vAlign w:val="center"/>
          </w:tcPr>
          <w:p w14:paraId="7384C3E2"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390.670    </w:t>
            </w:r>
          </w:p>
        </w:tc>
        <w:tc>
          <w:tcPr>
            <w:tcW w:w="1134" w:type="dxa"/>
            <w:tcBorders>
              <w:top w:val="nil"/>
              <w:left w:val="nil"/>
              <w:bottom w:val="single" w:sz="8" w:space="0" w:color="BCD6EE"/>
              <w:right w:val="single" w:sz="8" w:space="0" w:color="BCD6EE"/>
            </w:tcBorders>
            <w:shd w:val="clear" w:color="auto" w:fill="auto"/>
            <w:vAlign w:val="center"/>
          </w:tcPr>
          <w:p w14:paraId="475B9AA1"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419.698    </w:t>
            </w:r>
          </w:p>
        </w:tc>
        <w:tc>
          <w:tcPr>
            <w:tcW w:w="1148" w:type="dxa"/>
            <w:tcBorders>
              <w:top w:val="nil"/>
              <w:left w:val="nil"/>
              <w:bottom w:val="single" w:sz="8" w:space="0" w:color="BCD6EE"/>
              <w:right w:val="single" w:sz="8" w:space="0" w:color="BCD6EE"/>
            </w:tcBorders>
            <w:shd w:val="clear" w:color="auto" w:fill="auto"/>
            <w:vAlign w:val="center"/>
          </w:tcPr>
          <w:p w14:paraId="2047F120"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386.918    </w:t>
            </w:r>
          </w:p>
        </w:tc>
        <w:tc>
          <w:tcPr>
            <w:tcW w:w="1185" w:type="dxa"/>
            <w:tcBorders>
              <w:top w:val="nil"/>
              <w:left w:val="nil"/>
              <w:bottom w:val="single" w:sz="8" w:space="0" w:color="BCD6EE"/>
              <w:right w:val="single" w:sz="8" w:space="0" w:color="BCD6EE"/>
            </w:tcBorders>
            <w:vAlign w:val="center"/>
          </w:tcPr>
          <w:p w14:paraId="02FA1BEA"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545.785</w:t>
            </w:r>
          </w:p>
        </w:tc>
      </w:tr>
      <w:tr w:rsidR="00E440CE" w:rsidRPr="00ED7B99" w14:paraId="12560EFF"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34868639"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Posavski</w:t>
            </w:r>
          </w:p>
        </w:tc>
        <w:tc>
          <w:tcPr>
            <w:tcW w:w="1156" w:type="dxa"/>
            <w:tcBorders>
              <w:top w:val="nil"/>
              <w:left w:val="nil"/>
              <w:bottom w:val="single" w:sz="8" w:space="0" w:color="BCD6EE"/>
              <w:right w:val="single" w:sz="8" w:space="0" w:color="BCD6EE"/>
            </w:tcBorders>
            <w:shd w:val="clear" w:color="auto" w:fill="auto"/>
            <w:vAlign w:val="center"/>
          </w:tcPr>
          <w:p w14:paraId="27D7F9E5"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177.882    </w:t>
            </w:r>
          </w:p>
        </w:tc>
        <w:tc>
          <w:tcPr>
            <w:tcW w:w="1156" w:type="dxa"/>
            <w:tcBorders>
              <w:top w:val="nil"/>
              <w:left w:val="nil"/>
              <w:bottom w:val="single" w:sz="8" w:space="0" w:color="BCD6EE"/>
              <w:right w:val="single" w:sz="8" w:space="0" w:color="BCD6EE"/>
            </w:tcBorders>
            <w:shd w:val="clear" w:color="auto" w:fill="auto"/>
            <w:vAlign w:val="center"/>
          </w:tcPr>
          <w:p w14:paraId="239AA115"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223.896    </w:t>
            </w:r>
          </w:p>
        </w:tc>
        <w:tc>
          <w:tcPr>
            <w:tcW w:w="1141" w:type="dxa"/>
            <w:tcBorders>
              <w:top w:val="nil"/>
              <w:left w:val="nil"/>
              <w:bottom w:val="single" w:sz="8" w:space="0" w:color="BCD6EE"/>
              <w:right w:val="single" w:sz="8" w:space="0" w:color="BCD6EE"/>
            </w:tcBorders>
            <w:shd w:val="clear" w:color="auto" w:fill="auto"/>
            <w:vAlign w:val="center"/>
          </w:tcPr>
          <w:p w14:paraId="7E2262C4"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219.528    </w:t>
            </w:r>
          </w:p>
        </w:tc>
        <w:tc>
          <w:tcPr>
            <w:tcW w:w="1134" w:type="dxa"/>
            <w:tcBorders>
              <w:top w:val="nil"/>
              <w:left w:val="nil"/>
              <w:bottom w:val="single" w:sz="8" w:space="0" w:color="BCD6EE"/>
              <w:right w:val="single" w:sz="8" w:space="0" w:color="BCD6EE"/>
            </w:tcBorders>
            <w:shd w:val="clear" w:color="auto" w:fill="auto"/>
            <w:vAlign w:val="center"/>
          </w:tcPr>
          <w:p w14:paraId="0833E5A1"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245.231    </w:t>
            </w:r>
          </w:p>
        </w:tc>
        <w:tc>
          <w:tcPr>
            <w:tcW w:w="1148" w:type="dxa"/>
            <w:tcBorders>
              <w:top w:val="nil"/>
              <w:left w:val="nil"/>
              <w:bottom w:val="single" w:sz="8" w:space="0" w:color="BCD6EE"/>
              <w:right w:val="single" w:sz="8" w:space="0" w:color="BCD6EE"/>
            </w:tcBorders>
            <w:shd w:val="clear" w:color="auto" w:fill="auto"/>
            <w:vAlign w:val="center"/>
          </w:tcPr>
          <w:p w14:paraId="49FCFEAB"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207.387    </w:t>
            </w:r>
          </w:p>
        </w:tc>
        <w:tc>
          <w:tcPr>
            <w:tcW w:w="1185" w:type="dxa"/>
            <w:tcBorders>
              <w:top w:val="nil"/>
              <w:left w:val="nil"/>
              <w:bottom w:val="single" w:sz="8" w:space="0" w:color="BCD6EE"/>
              <w:right w:val="single" w:sz="8" w:space="0" w:color="BCD6EE"/>
            </w:tcBorders>
            <w:vAlign w:val="center"/>
          </w:tcPr>
          <w:p w14:paraId="09C2D445"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265.140</w:t>
            </w:r>
          </w:p>
        </w:tc>
      </w:tr>
      <w:tr w:rsidR="00E440CE" w:rsidRPr="00ED7B99" w14:paraId="5E4B47CA"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0A89FB65"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Tuzlanski</w:t>
            </w:r>
          </w:p>
        </w:tc>
        <w:tc>
          <w:tcPr>
            <w:tcW w:w="1156" w:type="dxa"/>
            <w:tcBorders>
              <w:top w:val="nil"/>
              <w:left w:val="nil"/>
              <w:bottom w:val="single" w:sz="8" w:space="0" w:color="BCD6EE"/>
              <w:right w:val="single" w:sz="8" w:space="0" w:color="BCD6EE"/>
            </w:tcBorders>
            <w:shd w:val="clear" w:color="auto" w:fill="auto"/>
            <w:vAlign w:val="center"/>
          </w:tcPr>
          <w:p w14:paraId="6A7E125A"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1.546.718    </w:t>
            </w:r>
          </w:p>
        </w:tc>
        <w:tc>
          <w:tcPr>
            <w:tcW w:w="1156" w:type="dxa"/>
            <w:tcBorders>
              <w:top w:val="nil"/>
              <w:left w:val="nil"/>
              <w:bottom w:val="single" w:sz="8" w:space="0" w:color="BCD6EE"/>
              <w:right w:val="single" w:sz="8" w:space="0" w:color="BCD6EE"/>
            </w:tcBorders>
            <w:shd w:val="clear" w:color="auto" w:fill="auto"/>
            <w:vAlign w:val="center"/>
          </w:tcPr>
          <w:p w14:paraId="0192FD89"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1.791.190    </w:t>
            </w:r>
          </w:p>
        </w:tc>
        <w:tc>
          <w:tcPr>
            <w:tcW w:w="1141" w:type="dxa"/>
            <w:tcBorders>
              <w:top w:val="nil"/>
              <w:left w:val="nil"/>
              <w:bottom w:val="single" w:sz="8" w:space="0" w:color="BCD6EE"/>
              <w:right w:val="single" w:sz="8" w:space="0" w:color="BCD6EE"/>
            </w:tcBorders>
            <w:shd w:val="clear" w:color="auto" w:fill="auto"/>
            <w:vAlign w:val="center"/>
          </w:tcPr>
          <w:p w14:paraId="7F152764"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1.942.326    </w:t>
            </w:r>
          </w:p>
        </w:tc>
        <w:tc>
          <w:tcPr>
            <w:tcW w:w="1134" w:type="dxa"/>
            <w:tcBorders>
              <w:top w:val="nil"/>
              <w:left w:val="nil"/>
              <w:bottom w:val="single" w:sz="8" w:space="0" w:color="BCD6EE"/>
              <w:right w:val="single" w:sz="8" w:space="0" w:color="BCD6EE"/>
            </w:tcBorders>
            <w:shd w:val="clear" w:color="auto" w:fill="auto"/>
            <w:vAlign w:val="center"/>
          </w:tcPr>
          <w:p w14:paraId="69951120"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2.142.316    </w:t>
            </w:r>
          </w:p>
        </w:tc>
        <w:tc>
          <w:tcPr>
            <w:tcW w:w="1148" w:type="dxa"/>
            <w:tcBorders>
              <w:top w:val="nil"/>
              <w:left w:val="nil"/>
              <w:bottom w:val="single" w:sz="8" w:space="0" w:color="BCD6EE"/>
              <w:right w:val="single" w:sz="8" w:space="0" w:color="BCD6EE"/>
            </w:tcBorders>
            <w:shd w:val="clear" w:color="auto" w:fill="auto"/>
            <w:vAlign w:val="center"/>
          </w:tcPr>
          <w:p w14:paraId="16BEF04A"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1.871.497    </w:t>
            </w:r>
          </w:p>
        </w:tc>
        <w:tc>
          <w:tcPr>
            <w:tcW w:w="1185" w:type="dxa"/>
            <w:tcBorders>
              <w:top w:val="nil"/>
              <w:left w:val="nil"/>
              <w:bottom w:val="single" w:sz="8" w:space="0" w:color="BCD6EE"/>
              <w:right w:val="single" w:sz="8" w:space="0" w:color="BCD6EE"/>
            </w:tcBorders>
            <w:vAlign w:val="center"/>
          </w:tcPr>
          <w:p w14:paraId="3614FD6E"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2.377.354</w:t>
            </w:r>
          </w:p>
        </w:tc>
      </w:tr>
      <w:tr w:rsidR="00E440CE" w:rsidRPr="00ED7B99" w14:paraId="28B7C6DF"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090E00A1"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Zeničko-dobojski</w:t>
            </w:r>
          </w:p>
        </w:tc>
        <w:tc>
          <w:tcPr>
            <w:tcW w:w="1156" w:type="dxa"/>
            <w:tcBorders>
              <w:top w:val="nil"/>
              <w:left w:val="nil"/>
              <w:bottom w:val="single" w:sz="8" w:space="0" w:color="BCD6EE"/>
              <w:right w:val="single" w:sz="8" w:space="0" w:color="BCD6EE"/>
            </w:tcBorders>
            <w:shd w:val="clear" w:color="auto" w:fill="auto"/>
            <w:vAlign w:val="center"/>
          </w:tcPr>
          <w:p w14:paraId="793AD7B5"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1.648.468    </w:t>
            </w:r>
          </w:p>
        </w:tc>
        <w:tc>
          <w:tcPr>
            <w:tcW w:w="1156" w:type="dxa"/>
            <w:tcBorders>
              <w:top w:val="nil"/>
              <w:left w:val="nil"/>
              <w:bottom w:val="single" w:sz="8" w:space="0" w:color="BCD6EE"/>
              <w:right w:val="single" w:sz="8" w:space="0" w:color="BCD6EE"/>
            </w:tcBorders>
            <w:shd w:val="clear" w:color="auto" w:fill="auto"/>
            <w:vAlign w:val="center"/>
          </w:tcPr>
          <w:p w14:paraId="617235EF"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1.642.507    </w:t>
            </w:r>
          </w:p>
        </w:tc>
        <w:tc>
          <w:tcPr>
            <w:tcW w:w="1141" w:type="dxa"/>
            <w:tcBorders>
              <w:top w:val="nil"/>
              <w:left w:val="nil"/>
              <w:bottom w:val="single" w:sz="8" w:space="0" w:color="BCD6EE"/>
              <w:right w:val="single" w:sz="8" w:space="0" w:color="BCD6EE"/>
            </w:tcBorders>
            <w:shd w:val="clear" w:color="auto" w:fill="auto"/>
            <w:vAlign w:val="center"/>
          </w:tcPr>
          <w:p w14:paraId="758C0356"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1.814.030    </w:t>
            </w:r>
          </w:p>
        </w:tc>
        <w:tc>
          <w:tcPr>
            <w:tcW w:w="1134" w:type="dxa"/>
            <w:tcBorders>
              <w:top w:val="nil"/>
              <w:left w:val="nil"/>
              <w:bottom w:val="single" w:sz="8" w:space="0" w:color="BCD6EE"/>
              <w:right w:val="single" w:sz="8" w:space="0" w:color="BCD6EE"/>
            </w:tcBorders>
            <w:shd w:val="clear" w:color="auto" w:fill="auto"/>
            <w:vAlign w:val="center"/>
          </w:tcPr>
          <w:p w14:paraId="17690191"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1.738.485    </w:t>
            </w:r>
          </w:p>
        </w:tc>
        <w:tc>
          <w:tcPr>
            <w:tcW w:w="1148" w:type="dxa"/>
            <w:tcBorders>
              <w:top w:val="nil"/>
              <w:left w:val="nil"/>
              <w:bottom w:val="single" w:sz="8" w:space="0" w:color="BCD6EE"/>
              <w:right w:val="single" w:sz="8" w:space="0" w:color="BCD6EE"/>
            </w:tcBorders>
            <w:shd w:val="clear" w:color="auto" w:fill="auto"/>
            <w:vAlign w:val="center"/>
          </w:tcPr>
          <w:p w14:paraId="326DCCF3"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1.422.912    </w:t>
            </w:r>
          </w:p>
        </w:tc>
        <w:tc>
          <w:tcPr>
            <w:tcW w:w="1185" w:type="dxa"/>
            <w:tcBorders>
              <w:top w:val="nil"/>
              <w:left w:val="nil"/>
              <w:bottom w:val="single" w:sz="8" w:space="0" w:color="BCD6EE"/>
              <w:right w:val="single" w:sz="8" w:space="0" w:color="BCD6EE"/>
            </w:tcBorders>
            <w:vAlign w:val="center"/>
          </w:tcPr>
          <w:p w14:paraId="395C65BD"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1.880.078</w:t>
            </w:r>
          </w:p>
        </w:tc>
      </w:tr>
      <w:tr w:rsidR="00E440CE" w:rsidRPr="00ED7B99" w14:paraId="620CB512"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2D55303B"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Bosansko-podrinjski</w:t>
            </w:r>
          </w:p>
        </w:tc>
        <w:tc>
          <w:tcPr>
            <w:tcW w:w="1156" w:type="dxa"/>
            <w:tcBorders>
              <w:top w:val="nil"/>
              <w:left w:val="nil"/>
              <w:bottom w:val="single" w:sz="8" w:space="0" w:color="BCD6EE"/>
              <w:right w:val="single" w:sz="8" w:space="0" w:color="BCD6EE"/>
            </w:tcBorders>
            <w:shd w:val="clear" w:color="auto" w:fill="auto"/>
            <w:vAlign w:val="center"/>
          </w:tcPr>
          <w:p w14:paraId="38280B65"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88.807    </w:t>
            </w:r>
          </w:p>
        </w:tc>
        <w:tc>
          <w:tcPr>
            <w:tcW w:w="1156" w:type="dxa"/>
            <w:tcBorders>
              <w:top w:val="nil"/>
              <w:left w:val="nil"/>
              <w:bottom w:val="single" w:sz="8" w:space="0" w:color="BCD6EE"/>
              <w:right w:val="single" w:sz="8" w:space="0" w:color="BCD6EE"/>
            </w:tcBorders>
            <w:shd w:val="clear" w:color="auto" w:fill="auto"/>
            <w:vAlign w:val="center"/>
          </w:tcPr>
          <w:p w14:paraId="7349F1DD"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104.548    </w:t>
            </w:r>
          </w:p>
        </w:tc>
        <w:tc>
          <w:tcPr>
            <w:tcW w:w="1141" w:type="dxa"/>
            <w:tcBorders>
              <w:top w:val="nil"/>
              <w:left w:val="nil"/>
              <w:bottom w:val="single" w:sz="8" w:space="0" w:color="BCD6EE"/>
              <w:right w:val="single" w:sz="8" w:space="0" w:color="BCD6EE"/>
            </w:tcBorders>
            <w:shd w:val="clear" w:color="auto" w:fill="auto"/>
            <w:vAlign w:val="center"/>
          </w:tcPr>
          <w:p w14:paraId="76D092C2"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115.056    </w:t>
            </w:r>
          </w:p>
        </w:tc>
        <w:tc>
          <w:tcPr>
            <w:tcW w:w="1134" w:type="dxa"/>
            <w:tcBorders>
              <w:top w:val="nil"/>
              <w:left w:val="nil"/>
              <w:bottom w:val="single" w:sz="8" w:space="0" w:color="BCD6EE"/>
              <w:right w:val="single" w:sz="8" w:space="0" w:color="BCD6EE"/>
            </w:tcBorders>
            <w:shd w:val="clear" w:color="auto" w:fill="auto"/>
            <w:vAlign w:val="center"/>
          </w:tcPr>
          <w:p w14:paraId="3A9B16D6"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82.825    </w:t>
            </w:r>
          </w:p>
        </w:tc>
        <w:tc>
          <w:tcPr>
            <w:tcW w:w="1148" w:type="dxa"/>
            <w:tcBorders>
              <w:top w:val="nil"/>
              <w:left w:val="nil"/>
              <w:bottom w:val="single" w:sz="8" w:space="0" w:color="BCD6EE"/>
              <w:right w:val="single" w:sz="8" w:space="0" w:color="BCD6EE"/>
            </w:tcBorders>
            <w:shd w:val="clear" w:color="auto" w:fill="auto"/>
            <w:vAlign w:val="center"/>
          </w:tcPr>
          <w:p w14:paraId="6AC7DB0B"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89.544    </w:t>
            </w:r>
          </w:p>
        </w:tc>
        <w:tc>
          <w:tcPr>
            <w:tcW w:w="1185" w:type="dxa"/>
            <w:tcBorders>
              <w:top w:val="nil"/>
              <w:left w:val="nil"/>
              <w:bottom w:val="single" w:sz="8" w:space="0" w:color="BCD6EE"/>
              <w:right w:val="single" w:sz="8" w:space="0" w:color="BCD6EE"/>
            </w:tcBorders>
            <w:vAlign w:val="center"/>
          </w:tcPr>
          <w:p w14:paraId="102B23E5"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131.126</w:t>
            </w:r>
          </w:p>
        </w:tc>
      </w:tr>
      <w:tr w:rsidR="00E440CE" w:rsidRPr="00ED7B99" w14:paraId="69E914C2"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1C8B6C2D"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Srednjobosanski</w:t>
            </w:r>
          </w:p>
        </w:tc>
        <w:tc>
          <w:tcPr>
            <w:tcW w:w="1156" w:type="dxa"/>
            <w:tcBorders>
              <w:top w:val="nil"/>
              <w:left w:val="nil"/>
              <w:bottom w:val="single" w:sz="8" w:space="0" w:color="BCD6EE"/>
              <w:right w:val="single" w:sz="8" w:space="0" w:color="BCD6EE"/>
            </w:tcBorders>
            <w:shd w:val="clear" w:color="auto" w:fill="auto"/>
            <w:vAlign w:val="center"/>
          </w:tcPr>
          <w:p w14:paraId="2BC1BEC2"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932.107    </w:t>
            </w:r>
          </w:p>
        </w:tc>
        <w:tc>
          <w:tcPr>
            <w:tcW w:w="1156" w:type="dxa"/>
            <w:tcBorders>
              <w:top w:val="nil"/>
              <w:left w:val="nil"/>
              <w:bottom w:val="single" w:sz="8" w:space="0" w:color="BCD6EE"/>
              <w:right w:val="single" w:sz="8" w:space="0" w:color="BCD6EE"/>
            </w:tcBorders>
            <w:shd w:val="clear" w:color="auto" w:fill="auto"/>
            <w:vAlign w:val="center"/>
          </w:tcPr>
          <w:p w14:paraId="42BFEC19"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974.872    </w:t>
            </w:r>
          </w:p>
        </w:tc>
        <w:tc>
          <w:tcPr>
            <w:tcW w:w="1141" w:type="dxa"/>
            <w:tcBorders>
              <w:top w:val="nil"/>
              <w:left w:val="nil"/>
              <w:bottom w:val="single" w:sz="8" w:space="0" w:color="BCD6EE"/>
              <w:right w:val="single" w:sz="8" w:space="0" w:color="BCD6EE"/>
            </w:tcBorders>
            <w:shd w:val="clear" w:color="auto" w:fill="auto"/>
            <w:vAlign w:val="center"/>
          </w:tcPr>
          <w:p w14:paraId="57D149D5"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980.289    </w:t>
            </w:r>
          </w:p>
        </w:tc>
        <w:tc>
          <w:tcPr>
            <w:tcW w:w="1134" w:type="dxa"/>
            <w:tcBorders>
              <w:top w:val="nil"/>
              <w:left w:val="nil"/>
              <w:bottom w:val="single" w:sz="8" w:space="0" w:color="BCD6EE"/>
              <w:right w:val="single" w:sz="8" w:space="0" w:color="BCD6EE"/>
            </w:tcBorders>
            <w:shd w:val="clear" w:color="auto" w:fill="auto"/>
            <w:vAlign w:val="center"/>
          </w:tcPr>
          <w:p w14:paraId="130A468D"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1.043.314    </w:t>
            </w:r>
          </w:p>
        </w:tc>
        <w:tc>
          <w:tcPr>
            <w:tcW w:w="1148" w:type="dxa"/>
            <w:tcBorders>
              <w:top w:val="nil"/>
              <w:left w:val="nil"/>
              <w:bottom w:val="single" w:sz="8" w:space="0" w:color="BCD6EE"/>
              <w:right w:val="single" w:sz="8" w:space="0" w:color="BCD6EE"/>
            </w:tcBorders>
            <w:shd w:val="clear" w:color="auto" w:fill="auto"/>
            <w:vAlign w:val="center"/>
          </w:tcPr>
          <w:p w14:paraId="0C413E5B"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895.251    </w:t>
            </w:r>
          </w:p>
        </w:tc>
        <w:tc>
          <w:tcPr>
            <w:tcW w:w="1185" w:type="dxa"/>
            <w:tcBorders>
              <w:top w:val="nil"/>
              <w:left w:val="nil"/>
              <w:bottom w:val="single" w:sz="8" w:space="0" w:color="BCD6EE"/>
              <w:right w:val="single" w:sz="8" w:space="0" w:color="BCD6EE"/>
            </w:tcBorders>
            <w:vAlign w:val="center"/>
          </w:tcPr>
          <w:p w14:paraId="3E01E633"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1.116.647</w:t>
            </w:r>
          </w:p>
        </w:tc>
      </w:tr>
      <w:tr w:rsidR="00E440CE" w:rsidRPr="00ED7B99" w14:paraId="035D7BE5"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2DCE3556"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Hercegovačko- neretvanski</w:t>
            </w:r>
          </w:p>
        </w:tc>
        <w:tc>
          <w:tcPr>
            <w:tcW w:w="1156" w:type="dxa"/>
            <w:tcBorders>
              <w:top w:val="nil"/>
              <w:left w:val="nil"/>
              <w:bottom w:val="single" w:sz="8" w:space="0" w:color="BCD6EE"/>
              <w:right w:val="single" w:sz="8" w:space="0" w:color="BCD6EE"/>
            </w:tcBorders>
            <w:shd w:val="clear" w:color="auto" w:fill="auto"/>
            <w:vAlign w:val="center"/>
          </w:tcPr>
          <w:p w14:paraId="5AE0FC6E"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1.098.128    </w:t>
            </w:r>
          </w:p>
        </w:tc>
        <w:tc>
          <w:tcPr>
            <w:tcW w:w="1156" w:type="dxa"/>
            <w:tcBorders>
              <w:top w:val="nil"/>
              <w:left w:val="nil"/>
              <w:bottom w:val="single" w:sz="8" w:space="0" w:color="BCD6EE"/>
              <w:right w:val="single" w:sz="8" w:space="0" w:color="BCD6EE"/>
            </w:tcBorders>
            <w:shd w:val="clear" w:color="auto" w:fill="auto"/>
            <w:vAlign w:val="center"/>
          </w:tcPr>
          <w:p w14:paraId="04410026"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1.368.980    </w:t>
            </w:r>
          </w:p>
        </w:tc>
        <w:tc>
          <w:tcPr>
            <w:tcW w:w="1141" w:type="dxa"/>
            <w:tcBorders>
              <w:top w:val="nil"/>
              <w:left w:val="nil"/>
              <w:bottom w:val="single" w:sz="8" w:space="0" w:color="BCD6EE"/>
              <w:right w:val="single" w:sz="8" w:space="0" w:color="BCD6EE"/>
            </w:tcBorders>
            <w:shd w:val="clear" w:color="auto" w:fill="auto"/>
            <w:vAlign w:val="center"/>
          </w:tcPr>
          <w:p w14:paraId="4CAF72C4"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1.395.143    </w:t>
            </w:r>
          </w:p>
        </w:tc>
        <w:tc>
          <w:tcPr>
            <w:tcW w:w="1134" w:type="dxa"/>
            <w:tcBorders>
              <w:top w:val="nil"/>
              <w:left w:val="nil"/>
              <w:bottom w:val="single" w:sz="8" w:space="0" w:color="BCD6EE"/>
              <w:right w:val="single" w:sz="8" w:space="0" w:color="BCD6EE"/>
            </w:tcBorders>
            <w:shd w:val="clear" w:color="auto" w:fill="auto"/>
            <w:vAlign w:val="center"/>
          </w:tcPr>
          <w:p w14:paraId="01D2B58E"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1.445.547    </w:t>
            </w:r>
          </w:p>
        </w:tc>
        <w:tc>
          <w:tcPr>
            <w:tcW w:w="1148" w:type="dxa"/>
            <w:tcBorders>
              <w:top w:val="nil"/>
              <w:left w:val="nil"/>
              <w:bottom w:val="single" w:sz="8" w:space="0" w:color="BCD6EE"/>
              <w:right w:val="single" w:sz="8" w:space="0" w:color="BCD6EE"/>
            </w:tcBorders>
            <w:shd w:val="clear" w:color="auto" w:fill="auto"/>
            <w:vAlign w:val="center"/>
          </w:tcPr>
          <w:p w14:paraId="0B8BAEBA"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1.048.283    </w:t>
            </w:r>
          </w:p>
        </w:tc>
        <w:tc>
          <w:tcPr>
            <w:tcW w:w="1185" w:type="dxa"/>
            <w:tcBorders>
              <w:top w:val="nil"/>
              <w:left w:val="nil"/>
              <w:bottom w:val="single" w:sz="8" w:space="0" w:color="BCD6EE"/>
              <w:right w:val="single" w:sz="8" w:space="0" w:color="BCD6EE"/>
            </w:tcBorders>
            <w:vAlign w:val="center"/>
          </w:tcPr>
          <w:p w14:paraId="08BADA83"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1.598.723</w:t>
            </w:r>
          </w:p>
        </w:tc>
      </w:tr>
      <w:tr w:rsidR="00E440CE" w:rsidRPr="00ED7B99" w14:paraId="54FBE590"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3466C02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Zapadnohercegovački</w:t>
            </w:r>
          </w:p>
        </w:tc>
        <w:tc>
          <w:tcPr>
            <w:tcW w:w="1156" w:type="dxa"/>
            <w:tcBorders>
              <w:top w:val="nil"/>
              <w:left w:val="nil"/>
              <w:bottom w:val="single" w:sz="8" w:space="0" w:color="BCD6EE"/>
              <w:right w:val="single" w:sz="8" w:space="0" w:color="BCD6EE"/>
            </w:tcBorders>
            <w:shd w:val="clear" w:color="auto" w:fill="auto"/>
            <w:vAlign w:val="center"/>
          </w:tcPr>
          <w:p w14:paraId="64E5B746"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1.196.560    </w:t>
            </w:r>
          </w:p>
        </w:tc>
        <w:tc>
          <w:tcPr>
            <w:tcW w:w="1156" w:type="dxa"/>
            <w:tcBorders>
              <w:top w:val="nil"/>
              <w:left w:val="nil"/>
              <w:bottom w:val="single" w:sz="8" w:space="0" w:color="BCD6EE"/>
              <w:right w:val="single" w:sz="8" w:space="0" w:color="BCD6EE"/>
            </w:tcBorders>
            <w:shd w:val="clear" w:color="auto" w:fill="auto"/>
            <w:vAlign w:val="center"/>
          </w:tcPr>
          <w:p w14:paraId="5BB4EEB4"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1.404.622    </w:t>
            </w:r>
          </w:p>
        </w:tc>
        <w:tc>
          <w:tcPr>
            <w:tcW w:w="1141" w:type="dxa"/>
            <w:tcBorders>
              <w:top w:val="nil"/>
              <w:left w:val="nil"/>
              <w:bottom w:val="single" w:sz="8" w:space="0" w:color="BCD6EE"/>
              <w:right w:val="single" w:sz="8" w:space="0" w:color="BCD6EE"/>
            </w:tcBorders>
            <w:shd w:val="clear" w:color="auto" w:fill="auto"/>
            <w:vAlign w:val="center"/>
          </w:tcPr>
          <w:p w14:paraId="473651B2"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1.522.589    </w:t>
            </w:r>
          </w:p>
        </w:tc>
        <w:tc>
          <w:tcPr>
            <w:tcW w:w="1134" w:type="dxa"/>
            <w:tcBorders>
              <w:top w:val="nil"/>
              <w:left w:val="nil"/>
              <w:bottom w:val="single" w:sz="8" w:space="0" w:color="BCD6EE"/>
              <w:right w:val="single" w:sz="8" w:space="0" w:color="BCD6EE"/>
            </w:tcBorders>
            <w:shd w:val="clear" w:color="auto" w:fill="auto"/>
            <w:vAlign w:val="center"/>
          </w:tcPr>
          <w:p w14:paraId="09E8FF7F"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1.667.752    </w:t>
            </w:r>
          </w:p>
        </w:tc>
        <w:tc>
          <w:tcPr>
            <w:tcW w:w="1148" w:type="dxa"/>
            <w:tcBorders>
              <w:top w:val="nil"/>
              <w:left w:val="nil"/>
              <w:bottom w:val="single" w:sz="8" w:space="0" w:color="BCD6EE"/>
              <w:right w:val="single" w:sz="8" w:space="0" w:color="BCD6EE"/>
            </w:tcBorders>
            <w:shd w:val="clear" w:color="auto" w:fill="auto"/>
            <w:vAlign w:val="center"/>
          </w:tcPr>
          <w:p w14:paraId="4A9E58D8"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1.530.508    </w:t>
            </w:r>
          </w:p>
        </w:tc>
        <w:tc>
          <w:tcPr>
            <w:tcW w:w="1185" w:type="dxa"/>
            <w:tcBorders>
              <w:top w:val="nil"/>
              <w:left w:val="nil"/>
              <w:bottom w:val="single" w:sz="8" w:space="0" w:color="BCD6EE"/>
              <w:right w:val="single" w:sz="8" w:space="0" w:color="BCD6EE"/>
            </w:tcBorders>
            <w:vAlign w:val="center"/>
          </w:tcPr>
          <w:p w14:paraId="37C328AA"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1.890.754</w:t>
            </w:r>
          </w:p>
        </w:tc>
      </w:tr>
      <w:tr w:rsidR="00E440CE" w:rsidRPr="00ED7B99" w14:paraId="692D5AC2"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5EA29D0D"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Sarajevo</w:t>
            </w:r>
          </w:p>
        </w:tc>
        <w:tc>
          <w:tcPr>
            <w:tcW w:w="1156" w:type="dxa"/>
            <w:tcBorders>
              <w:top w:val="nil"/>
              <w:left w:val="nil"/>
              <w:bottom w:val="single" w:sz="8" w:space="0" w:color="BCD6EE"/>
              <w:right w:val="single" w:sz="8" w:space="0" w:color="BCD6EE"/>
            </w:tcBorders>
            <w:shd w:val="clear" w:color="auto" w:fill="auto"/>
            <w:vAlign w:val="center"/>
          </w:tcPr>
          <w:p w14:paraId="1F6FF077"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3.670.283    </w:t>
            </w:r>
          </w:p>
        </w:tc>
        <w:tc>
          <w:tcPr>
            <w:tcW w:w="1156" w:type="dxa"/>
            <w:tcBorders>
              <w:top w:val="nil"/>
              <w:left w:val="nil"/>
              <w:bottom w:val="single" w:sz="8" w:space="0" w:color="BCD6EE"/>
              <w:right w:val="single" w:sz="8" w:space="0" w:color="BCD6EE"/>
            </w:tcBorders>
            <w:shd w:val="clear" w:color="auto" w:fill="auto"/>
            <w:vAlign w:val="center"/>
          </w:tcPr>
          <w:p w14:paraId="2468B88F"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4.402.546    </w:t>
            </w:r>
          </w:p>
        </w:tc>
        <w:tc>
          <w:tcPr>
            <w:tcW w:w="1141" w:type="dxa"/>
            <w:tcBorders>
              <w:top w:val="nil"/>
              <w:left w:val="nil"/>
              <w:bottom w:val="single" w:sz="8" w:space="0" w:color="BCD6EE"/>
              <w:right w:val="single" w:sz="8" w:space="0" w:color="BCD6EE"/>
            </w:tcBorders>
            <w:shd w:val="clear" w:color="auto" w:fill="auto"/>
            <w:vAlign w:val="center"/>
          </w:tcPr>
          <w:p w14:paraId="607D09AF"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4.678.188    </w:t>
            </w:r>
          </w:p>
        </w:tc>
        <w:tc>
          <w:tcPr>
            <w:tcW w:w="1134" w:type="dxa"/>
            <w:tcBorders>
              <w:top w:val="nil"/>
              <w:left w:val="nil"/>
              <w:bottom w:val="single" w:sz="8" w:space="0" w:color="BCD6EE"/>
              <w:right w:val="single" w:sz="8" w:space="0" w:color="BCD6EE"/>
            </w:tcBorders>
            <w:shd w:val="clear" w:color="auto" w:fill="auto"/>
            <w:vAlign w:val="center"/>
          </w:tcPr>
          <w:p w14:paraId="37E96035"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4.872.213    </w:t>
            </w:r>
          </w:p>
        </w:tc>
        <w:tc>
          <w:tcPr>
            <w:tcW w:w="1148" w:type="dxa"/>
            <w:tcBorders>
              <w:top w:val="nil"/>
              <w:left w:val="nil"/>
              <w:bottom w:val="single" w:sz="8" w:space="0" w:color="BCD6EE"/>
              <w:right w:val="single" w:sz="8" w:space="0" w:color="BCD6EE"/>
            </w:tcBorders>
            <w:shd w:val="clear" w:color="auto" w:fill="auto"/>
            <w:vAlign w:val="center"/>
          </w:tcPr>
          <w:p w14:paraId="0F1C9EBC"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4.069.273    </w:t>
            </w:r>
          </w:p>
        </w:tc>
        <w:tc>
          <w:tcPr>
            <w:tcW w:w="1185" w:type="dxa"/>
            <w:tcBorders>
              <w:top w:val="nil"/>
              <w:left w:val="nil"/>
              <w:bottom w:val="single" w:sz="8" w:space="0" w:color="BCD6EE"/>
              <w:right w:val="single" w:sz="8" w:space="0" w:color="BCD6EE"/>
            </w:tcBorders>
            <w:vAlign w:val="center"/>
          </w:tcPr>
          <w:p w14:paraId="58023EBA"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5.120.378</w:t>
            </w:r>
          </w:p>
        </w:tc>
      </w:tr>
      <w:tr w:rsidR="00E440CE" w:rsidRPr="00ED7B99" w14:paraId="3FFAA169"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auto"/>
            <w:vAlign w:val="center"/>
          </w:tcPr>
          <w:p w14:paraId="0BFFA19E"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10</w:t>
            </w:r>
          </w:p>
        </w:tc>
        <w:tc>
          <w:tcPr>
            <w:tcW w:w="1156" w:type="dxa"/>
            <w:tcBorders>
              <w:top w:val="nil"/>
              <w:left w:val="nil"/>
              <w:bottom w:val="single" w:sz="8" w:space="0" w:color="BCD6EE"/>
              <w:right w:val="single" w:sz="8" w:space="0" w:color="BCD6EE"/>
            </w:tcBorders>
            <w:shd w:val="clear" w:color="auto" w:fill="auto"/>
            <w:vAlign w:val="center"/>
          </w:tcPr>
          <w:p w14:paraId="68E7D568"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155.335    </w:t>
            </w:r>
          </w:p>
        </w:tc>
        <w:tc>
          <w:tcPr>
            <w:tcW w:w="1156" w:type="dxa"/>
            <w:tcBorders>
              <w:top w:val="nil"/>
              <w:left w:val="nil"/>
              <w:bottom w:val="single" w:sz="8" w:space="0" w:color="BCD6EE"/>
              <w:right w:val="single" w:sz="8" w:space="0" w:color="BCD6EE"/>
            </w:tcBorders>
            <w:shd w:val="clear" w:color="auto" w:fill="auto"/>
            <w:vAlign w:val="center"/>
          </w:tcPr>
          <w:p w14:paraId="20F2DAAA"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99.447    </w:t>
            </w:r>
          </w:p>
        </w:tc>
        <w:tc>
          <w:tcPr>
            <w:tcW w:w="1141" w:type="dxa"/>
            <w:tcBorders>
              <w:top w:val="nil"/>
              <w:left w:val="nil"/>
              <w:bottom w:val="single" w:sz="8" w:space="0" w:color="BCD6EE"/>
              <w:right w:val="single" w:sz="8" w:space="0" w:color="BCD6EE"/>
            </w:tcBorders>
            <w:shd w:val="clear" w:color="auto" w:fill="auto"/>
            <w:vAlign w:val="center"/>
          </w:tcPr>
          <w:p w14:paraId="1FBB641B"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126.708    </w:t>
            </w:r>
          </w:p>
        </w:tc>
        <w:tc>
          <w:tcPr>
            <w:tcW w:w="1134" w:type="dxa"/>
            <w:tcBorders>
              <w:top w:val="nil"/>
              <w:left w:val="nil"/>
              <w:bottom w:val="single" w:sz="8" w:space="0" w:color="BCD6EE"/>
              <w:right w:val="single" w:sz="8" w:space="0" w:color="BCD6EE"/>
            </w:tcBorders>
            <w:shd w:val="clear" w:color="auto" w:fill="auto"/>
            <w:vAlign w:val="center"/>
          </w:tcPr>
          <w:p w14:paraId="72FC2A0F"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95.816    </w:t>
            </w:r>
          </w:p>
        </w:tc>
        <w:tc>
          <w:tcPr>
            <w:tcW w:w="1148" w:type="dxa"/>
            <w:tcBorders>
              <w:top w:val="nil"/>
              <w:left w:val="nil"/>
              <w:bottom w:val="single" w:sz="8" w:space="0" w:color="BCD6EE"/>
              <w:right w:val="single" w:sz="8" w:space="0" w:color="BCD6EE"/>
            </w:tcBorders>
            <w:shd w:val="clear" w:color="auto" w:fill="auto"/>
            <w:vAlign w:val="center"/>
          </w:tcPr>
          <w:p w14:paraId="4EE681E0"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85.193    </w:t>
            </w:r>
          </w:p>
        </w:tc>
        <w:tc>
          <w:tcPr>
            <w:tcW w:w="1185" w:type="dxa"/>
            <w:tcBorders>
              <w:top w:val="nil"/>
              <w:left w:val="nil"/>
              <w:bottom w:val="single" w:sz="8" w:space="0" w:color="BCD6EE"/>
              <w:right w:val="single" w:sz="8" w:space="0" w:color="BCD6EE"/>
            </w:tcBorders>
            <w:vAlign w:val="center"/>
          </w:tcPr>
          <w:p w14:paraId="7C115519"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99.916</w:t>
            </w:r>
          </w:p>
        </w:tc>
      </w:tr>
      <w:tr w:rsidR="00E440CE" w:rsidRPr="00ED7B99" w14:paraId="35DEBAE4" w14:textId="77777777" w:rsidTr="00026C1B">
        <w:trPr>
          <w:trHeight w:val="315"/>
        </w:trPr>
        <w:tc>
          <w:tcPr>
            <w:tcW w:w="2474"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0D0F0068"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Federacija BiH</w:t>
            </w:r>
          </w:p>
        </w:tc>
        <w:tc>
          <w:tcPr>
            <w:tcW w:w="1156" w:type="dxa"/>
            <w:tcBorders>
              <w:top w:val="nil"/>
              <w:left w:val="nil"/>
              <w:bottom w:val="single" w:sz="8" w:space="0" w:color="BCD6EE"/>
              <w:right w:val="single" w:sz="8" w:space="0" w:color="BCD6EE"/>
            </w:tcBorders>
            <w:shd w:val="clear" w:color="auto" w:fill="BCD9DE" w:themeFill="accent5" w:themeFillTint="66"/>
            <w:vAlign w:val="center"/>
          </w:tcPr>
          <w:p w14:paraId="138F3F4B"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10.867.858    </w:t>
            </w:r>
          </w:p>
        </w:tc>
        <w:tc>
          <w:tcPr>
            <w:tcW w:w="1156" w:type="dxa"/>
            <w:tcBorders>
              <w:top w:val="nil"/>
              <w:left w:val="nil"/>
              <w:bottom w:val="single" w:sz="8" w:space="0" w:color="BCD6EE"/>
              <w:right w:val="single" w:sz="8" w:space="0" w:color="BCD6EE"/>
            </w:tcBorders>
            <w:shd w:val="clear" w:color="auto" w:fill="BCD9DE" w:themeFill="accent5" w:themeFillTint="66"/>
            <w:vAlign w:val="center"/>
          </w:tcPr>
          <w:p w14:paraId="797BEBD8"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12.386.860    </w:t>
            </w:r>
          </w:p>
        </w:tc>
        <w:tc>
          <w:tcPr>
            <w:tcW w:w="1141" w:type="dxa"/>
            <w:tcBorders>
              <w:top w:val="nil"/>
              <w:left w:val="nil"/>
              <w:bottom w:val="single" w:sz="8" w:space="0" w:color="BCD6EE"/>
              <w:right w:val="single" w:sz="8" w:space="0" w:color="BCD6EE"/>
            </w:tcBorders>
            <w:shd w:val="clear" w:color="auto" w:fill="BCD9DE" w:themeFill="accent5" w:themeFillTint="66"/>
            <w:vAlign w:val="center"/>
          </w:tcPr>
          <w:p w14:paraId="2213C83D"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13.186.545    </w:t>
            </w:r>
          </w:p>
        </w:tc>
        <w:tc>
          <w:tcPr>
            <w:tcW w:w="1134" w:type="dxa"/>
            <w:tcBorders>
              <w:top w:val="nil"/>
              <w:left w:val="nil"/>
              <w:bottom w:val="single" w:sz="8" w:space="0" w:color="BCD6EE"/>
              <w:right w:val="single" w:sz="8" w:space="0" w:color="BCD6EE"/>
            </w:tcBorders>
            <w:shd w:val="clear" w:color="auto" w:fill="BCD9DE" w:themeFill="accent5" w:themeFillTint="66"/>
            <w:vAlign w:val="center"/>
          </w:tcPr>
          <w:p w14:paraId="6BF58EEB"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13.755.216    </w:t>
            </w:r>
          </w:p>
        </w:tc>
        <w:tc>
          <w:tcPr>
            <w:tcW w:w="1148" w:type="dxa"/>
            <w:tcBorders>
              <w:top w:val="nil"/>
              <w:left w:val="nil"/>
              <w:bottom w:val="single" w:sz="8" w:space="0" w:color="BCD6EE"/>
              <w:right w:val="single" w:sz="8" w:space="0" w:color="BCD6EE"/>
            </w:tcBorders>
            <w:shd w:val="clear" w:color="auto" w:fill="BCD9DE" w:themeFill="accent5" w:themeFillTint="66"/>
            <w:vAlign w:val="center"/>
          </w:tcPr>
          <w:p w14:paraId="4678C781"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11.608.786    </w:t>
            </w:r>
          </w:p>
        </w:tc>
        <w:tc>
          <w:tcPr>
            <w:tcW w:w="1185" w:type="dxa"/>
            <w:tcBorders>
              <w:top w:val="nil"/>
              <w:left w:val="nil"/>
              <w:bottom w:val="single" w:sz="8" w:space="0" w:color="BCD6EE"/>
              <w:right w:val="single" w:sz="8" w:space="0" w:color="BCD6EE"/>
            </w:tcBorders>
            <w:shd w:val="clear" w:color="auto" w:fill="BCD9DE" w:themeFill="accent5" w:themeFillTint="66"/>
            <w:vAlign w:val="center"/>
          </w:tcPr>
          <w:p w14:paraId="228A7CB4" w14:textId="77777777" w:rsidR="00E440CE" w:rsidRPr="00ED7B99" w:rsidRDefault="003422A9" w:rsidP="00026C1B">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15.131.784</w:t>
            </w:r>
          </w:p>
        </w:tc>
      </w:tr>
    </w:tbl>
    <w:p w14:paraId="3CB48AD4" w14:textId="77777777" w:rsidR="00E440CE" w:rsidRPr="00ED7B99" w:rsidRDefault="003422A9">
      <w:pPr>
        <w:rPr>
          <w:rFonts w:asciiTheme="majorHAnsi" w:hAnsiTheme="majorHAnsi" w:cstheme="majorHAnsi"/>
          <w:i/>
          <w:sz w:val="18"/>
          <w:szCs w:val="18"/>
        </w:rPr>
      </w:pPr>
      <w:r w:rsidRPr="00ED7B99">
        <w:rPr>
          <w:rFonts w:asciiTheme="majorHAnsi" w:hAnsiTheme="majorHAnsi" w:cstheme="majorHAnsi"/>
          <w:i/>
          <w:sz w:val="18"/>
          <w:szCs w:val="18"/>
        </w:rPr>
        <w:t xml:space="preserve">Izvor podataka: Federalni zavod za programiranje podataka, Makroekonomski pokazatelji po kantonima </w:t>
      </w:r>
    </w:p>
    <w:p w14:paraId="239AF881" w14:textId="6F777677" w:rsidR="009734C8" w:rsidRPr="00ED7B99" w:rsidRDefault="00026C1B">
      <w:pPr>
        <w:jc w:val="both"/>
        <w:rPr>
          <w:rFonts w:asciiTheme="majorHAnsi" w:hAnsiTheme="majorHAnsi" w:cstheme="majorHAnsi"/>
        </w:rPr>
      </w:pPr>
      <w:r>
        <w:rPr>
          <w:rFonts w:asciiTheme="majorHAnsi" w:hAnsiTheme="majorHAnsi" w:cstheme="majorHAnsi"/>
        </w:rPr>
        <w:t>Na kraju,</w:t>
      </w:r>
      <w:r w:rsidR="003422A9" w:rsidRPr="00ED7B99">
        <w:rPr>
          <w:rFonts w:asciiTheme="majorHAnsi" w:hAnsiTheme="majorHAnsi" w:cstheme="majorHAnsi"/>
        </w:rPr>
        <w:t xml:space="preserve"> kada posmatramo pokrivenost uvoza izvozom, vidimo da najveću pokrivenost imaju Bosansko podrinjski kanton sa 180,28% u 2021. godini odnosno čak 213,06% kada je ov</w:t>
      </w:r>
      <w:r w:rsidR="009734C8">
        <w:rPr>
          <w:rFonts w:asciiTheme="majorHAnsi" w:hAnsiTheme="majorHAnsi" w:cstheme="majorHAnsi"/>
        </w:rPr>
        <w:t>a</w:t>
      </w:r>
      <w:r w:rsidR="003422A9" w:rsidRPr="00ED7B99">
        <w:rPr>
          <w:rFonts w:asciiTheme="majorHAnsi" w:hAnsiTheme="majorHAnsi" w:cstheme="majorHAnsi"/>
        </w:rPr>
        <w:t>j Kanton bilježio 2019 . godine te Kanton 10 sa 134% u 2021. godini. Najmanju pokrivenost uvoza izvozom imaju Kanton Sarajevo, Hercegovačko-neretvanski kanton, Zapadno-hercegovački kanton te Posavski kanton koji zbog blizine sa Republikom Hrvatskom uvoze značajne količine robe dok izvoz ne prati taj obim.</w:t>
      </w:r>
      <w:r w:rsidR="009734C8" w:rsidRPr="00ED7B99">
        <w:rPr>
          <w:rFonts w:asciiTheme="majorHAnsi" w:hAnsiTheme="majorHAnsi" w:cstheme="majorHAnsi"/>
        </w:rPr>
        <w:t>.</w:t>
      </w:r>
    </w:p>
    <w:p w14:paraId="7BAE0FA6" w14:textId="455A4ACD"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7</w:t>
      </w:r>
      <w:r w:rsidR="0054018A" w:rsidRPr="00ED7B99">
        <w:rPr>
          <w:rFonts w:asciiTheme="majorHAnsi" w:hAnsiTheme="majorHAnsi" w:cstheme="majorHAnsi"/>
        </w:rPr>
        <w:fldChar w:fldCharType="end"/>
      </w:r>
      <w:r w:rsidRPr="00ED7B99">
        <w:rPr>
          <w:rFonts w:asciiTheme="majorHAnsi" w:hAnsiTheme="majorHAnsi" w:cstheme="majorHAnsi"/>
        </w:rPr>
        <w:t>. Pokrivenost uvoza izvozom po kantonima Federacije BiH za period 2016</w:t>
      </w:r>
      <w:r w:rsidR="00ED7B99">
        <w:rPr>
          <w:rFonts w:asciiTheme="majorHAnsi" w:hAnsiTheme="majorHAnsi" w:cstheme="majorHAnsi"/>
        </w:rPr>
        <w:t>.</w:t>
      </w:r>
      <w:r w:rsidRPr="00ED7B99">
        <w:rPr>
          <w:rFonts w:asciiTheme="majorHAnsi" w:hAnsiTheme="majorHAnsi" w:cstheme="majorHAnsi"/>
        </w:rPr>
        <w:t>-202</w:t>
      </w:r>
      <w:r w:rsidR="00ED7B99">
        <w:rPr>
          <w:rFonts w:asciiTheme="majorHAnsi" w:hAnsiTheme="majorHAnsi" w:cstheme="majorHAnsi"/>
        </w:rPr>
        <w:t>1.</w:t>
      </w:r>
      <w:r w:rsidRPr="00ED7B99">
        <w:rPr>
          <w:rFonts w:asciiTheme="majorHAnsi" w:hAnsiTheme="majorHAnsi" w:cstheme="majorHAnsi"/>
        </w:rPr>
        <w:t xml:space="preserve"> godina</w:t>
      </w:r>
    </w:p>
    <w:tbl>
      <w:tblPr>
        <w:tblStyle w:val="a4"/>
        <w:tblW w:w="9247" w:type="dxa"/>
        <w:tblInd w:w="93" w:type="dxa"/>
        <w:tblLayout w:type="fixed"/>
        <w:tblLook w:val="0400" w:firstRow="0" w:lastRow="0" w:firstColumn="0" w:lastColumn="0" w:noHBand="0" w:noVBand="1"/>
      </w:tblPr>
      <w:tblGrid>
        <w:gridCol w:w="2639"/>
        <w:gridCol w:w="1128"/>
        <w:gridCol w:w="1128"/>
        <w:gridCol w:w="1122"/>
        <w:gridCol w:w="1131"/>
        <w:gridCol w:w="1128"/>
        <w:gridCol w:w="971"/>
      </w:tblGrid>
      <w:tr w:rsidR="00E440CE" w:rsidRPr="00ED7B99" w14:paraId="7AB64BD2" w14:textId="77777777" w:rsidTr="00683004">
        <w:trPr>
          <w:trHeight w:val="315"/>
        </w:trPr>
        <w:tc>
          <w:tcPr>
            <w:tcW w:w="2639" w:type="dxa"/>
            <w:tcBorders>
              <w:top w:val="single" w:sz="8" w:space="0" w:color="BCD6EE"/>
              <w:left w:val="single" w:sz="8" w:space="0" w:color="BCD6EE"/>
              <w:bottom w:val="single" w:sz="8" w:space="0" w:color="BCD6EE"/>
              <w:right w:val="single" w:sz="8" w:space="0" w:color="BCD6EE"/>
            </w:tcBorders>
            <w:shd w:val="clear" w:color="auto" w:fill="BCD9DE" w:themeFill="accent5" w:themeFillTint="66"/>
            <w:vAlign w:val="center"/>
          </w:tcPr>
          <w:p w14:paraId="740010DF"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w:t>
            </w:r>
          </w:p>
        </w:tc>
        <w:tc>
          <w:tcPr>
            <w:tcW w:w="5637" w:type="dxa"/>
            <w:gridSpan w:val="5"/>
            <w:tcBorders>
              <w:top w:val="single" w:sz="8" w:space="0" w:color="BCD6EE"/>
              <w:left w:val="nil"/>
              <w:bottom w:val="single" w:sz="8" w:space="0" w:color="BCD6EE"/>
              <w:right w:val="single" w:sz="8" w:space="0" w:color="BCD6EE"/>
            </w:tcBorders>
            <w:shd w:val="clear" w:color="auto" w:fill="BCD9DE" w:themeFill="accent5" w:themeFillTint="66"/>
            <w:vAlign w:val="center"/>
          </w:tcPr>
          <w:p w14:paraId="419423FD"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Pokrivenost uvoza izvozom (%)</w:t>
            </w:r>
          </w:p>
        </w:tc>
        <w:tc>
          <w:tcPr>
            <w:tcW w:w="971" w:type="dxa"/>
            <w:tcBorders>
              <w:top w:val="single" w:sz="8" w:space="0" w:color="BCD6EE"/>
              <w:left w:val="nil"/>
              <w:bottom w:val="single" w:sz="8" w:space="0" w:color="BCD6EE"/>
              <w:right w:val="single" w:sz="8" w:space="0" w:color="BCD6EE"/>
            </w:tcBorders>
            <w:shd w:val="clear" w:color="auto" w:fill="BCD9DE" w:themeFill="accent5" w:themeFillTint="66"/>
          </w:tcPr>
          <w:p w14:paraId="6B3566D1" w14:textId="77777777" w:rsidR="00E440CE" w:rsidRPr="00ED7B99" w:rsidRDefault="00E440CE">
            <w:pPr>
              <w:spacing w:after="0" w:line="240" w:lineRule="auto"/>
              <w:jc w:val="center"/>
              <w:rPr>
                <w:rFonts w:asciiTheme="majorHAnsi" w:hAnsiTheme="majorHAnsi" w:cstheme="majorHAnsi"/>
                <w:b/>
                <w:color w:val="000000"/>
                <w:sz w:val="18"/>
                <w:szCs w:val="18"/>
              </w:rPr>
            </w:pPr>
          </w:p>
        </w:tc>
      </w:tr>
      <w:tr w:rsidR="00E440CE" w:rsidRPr="00ED7B99" w14:paraId="592387BC"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3E87A6B5"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1</w:t>
            </w:r>
          </w:p>
        </w:tc>
        <w:tc>
          <w:tcPr>
            <w:tcW w:w="1128" w:type="dxa"/>
            <w:tcBorders>
              <w:top w:val="nil"/>
              <w:left w:val="nil"/>
              <w:bottom w:val="single" w:sz="8" w:space="0" w:color="BCD6EE"/>
              <w:right w:val="single" w:sz="8" w:space="0" w:color="BCD6EE"/>
            </w:tcBorders>
            <w:shd w:val="clear" w:color="auto" w:fill="auto"/>
            <w:vAlign w:val="center"/>
          </w:tcPr>
          <w:p w14:paraId="75134B7C"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2016</w:t>
            </w:r>
          </w:p>
        </w:tc>
        <w:tc>
          <w:tcPr>
            <w:tcW w:w="1128" w:type="dxa"/>
            <w:tcBorders>
              <w:top w:val="nil"/>
              <w:left w:val="nil"/>
              <w:bottom w:val="single" w:sz="8" w:space="0" w:color="BCD6EE"/>
              <w:right w:val="single" w:sz="8" w:space="0" w:color="BCD6EE"/>
            </w:tcBorders>
            <w:shd w:val="clear" w:color="auto" w:fill="auto"/>
            <w:vAlign w:val="center"/>
          </w:tcPr>
          <w:p w14:paraId="0043DD2B"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2017</w:t>
            </w:r>
          </w:p>
        </w:tc>
        <w:tc>
          <w:tcPr>
            <w:tcW w:w="1122" w:type="dxa"/>
            <w:tcBorders>
              <w:top w:val="nil"/>
              <w:left w:val="nil"/>
              <w:bottom w:val="single" w:sz="8" w:space="0" w:color="BCD6EE"/>
              <w:right w:val="single" w:sz="8" w:space="0" w:color="BCD6EE"/>
            </w:tcBorders>
            <w:shd w:val="clear" w:color="auto" w:fill="auto"/>
            <w:vAlign w:val="center"/>
          </w:tcPr>
          <w:p w14:paraId="46887DAF"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2018</w:t>
            </w:r>
          </w:p>
        </w:tc>
        <w:tc>
          <w:tcPr>
            <w:tcW w:w="1131" w:type="dxa"/>
            <w:tcBorders>
              <w:top w:val="nil"/>
              <w:left w:val="nil"/>
              <w:bottom w:val="single" w:sz="8" w:space="0" w:color="BCD6EE"/>
              <w:right w:val="single" w:sz="8" w:space="0" w:color="BCD6EE"/>
            </w:tcBorders>
            <w:shd w:val="clear" w:color="auto" w:fill="auto"/>
            <w:vAlign w:val="center"/>
          </w:tcPr>
          <w:p w14:paraId="7D4A6BDA"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2019</w:t>
            </w:r>
          </w:p>
        </w:tc>
        <w:tc>
          <w:tcPr>
            <w:tcW w:w="1128" w:type="dxa"/>
            <w:tcBorders>
              <w:top w:val="nil"/>
              <w:left w:val="nil"/>
              <w:bottom w:val="single" w:sz="8" w:space="0" w:color="BCD6EE"/>
              <w:right w:val="single" w:sz="8" w:space="0" w:color="BCD6EE"/>
            </w:tcBorders>
            <w:shd w:val="clear" w:color="auto" w:fill="auto"/>
            <w:vAlign w:val="center"/>
          </w:tcPr>
          <w:p w14:paraId="2B188B26" w14:textId="77777777" w:rsidR="00E440CE" w:rsidRPr="00ED7B99" w:rsidRDefault="003422A9">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2020</w:t>
            </w:r>
          </w:p>
        </w:tc>
        <w:tc>
          <w:tcPr>
            <w:tcW w:w="971" w:type="dxa"/>
            <w:tcBorders>
              <w:top w:val="nil"/>
              <w:left w:val="nil"/>
              <w:bottom w:val="single" w:sz="8" w:space="0" w:color="BCD6EE"/>
              <w:right w:val="single" w:sz="8" w:space="0" w:color="BCD6EE"/>
            </w:tcBorders>
          </w:tcPr>
          <w:p w14:paraId="679EFB82" w14:textId="6B146A56" w:rsidR="00E440CE" w:rsidRPr="00ED7B99" w:rsidRDefault="00587DEE">
            <w:pPr>
              <w:spacing w:after="0" w:line="240" w:lineRule="auto"/>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2021</w:t>
            </w:r>
          </w:p>
        </w:tc>
      </w:tr>
      <w:tr w:rsidR="00E440CE" w:rsidRPr="00ED7B99" w14:paraId="17802749"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431B2B83"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Unsko - sanski</w:t>
            </w:r>
          </w:p>
        </w:tc>
        <w:tc>
          <w:tcPr>
            <w:tcW w:w="1128" w:type="dxa"/>
            <w:tcBorders>
              <w:top w:val="nil"/>
              <w:left w:val="nil"/>
              <w:bottom w:val="single" w:sz="8" w:space="0" w:color="BCD6EE"/>
              <w:right w:val="single" w:sz="8" w:space="0" w:color="BCD6EE"/>
            </w:tcBorders>
            <w:shd w:val="clear" w:color="auto" w:fill="auto"/>
            <w:vAlign w:val="center"/>
          </w:tcPr>
          <w:p w14:paraId="04610FD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74,28%</w:t>
            </w:r>
          </w:p>
        </w:tc>
        <w:tc>
          <w:tcPr>
            <w:tcW w:w="1128" w:type="dxa"/>
            <w:tcBorders>
              <w:top w:val="nil"/>
              <w:left w:val="nil"/>
              <w:bottom w:val="single" w:sz="8" w:space="0" w:color="BCD6EE"/>
              <w:right w:val="single" w:sz="8" w:space="0" w:color="BCD6EE"/>
            </w:tcBorders>
            <w:shd w:val="clear" w:color="auto" w:fill="auto"/>
            <w:vAlign w:val="center"/>
          </w:tcPr>
          <w:p w14:paraId="1AAA71DF"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83,49%</w:t>
            </w:r>
          </w:p>
        </w:tc>
        <w:tc>
          <w:tcPr>
            <w:tcW w:w="1122" w:type="dxa"/>
            <w:tcBorders>
              <w:top w:val="nil"/>
              <w:left w:val="nil"/>
              <w:bottom w:val="single" w:sz="8" w:space="0" w:color="BCD6EE"/>
              <w:right w:val="single" w:sz="8" w:space="0" w:color="BCD6EE"/>
            </w:tcBorders>
            <w:shd w:val="clear" w:color="auto" w:fill="auto"/>
            <w:vAlign w:val="center"/>
          </w:tcPr>
          <w:p w14:paraId="17DF30A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87,74%</w:t>
            </w:r>
          </w:p>
        </w:tc>
        <w:tc>
          <w:tcPr>
            <w:tcW w:w="1131" w:type="dxa"/>
            <w:tcBorders>
              <w:top w:val="nil"/>
              <w:left w:val="nil"/>
              <w:bottom w:val="single" w:sz="8" w:space="0" w:color="BCD6EE"/>
              <w:right w:val="single" w:sz="8" w:space="0" w:color="BCD6EE"/>
            </w:tcBorders>
            <w:shd w:val="clear" w:color="auto" w:fill="auto"/>
            <w:vAlign w:val="center"/>
          </w:tcPr>
          <w:p w14:paraId="685A832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91,89%</w:t>
            </w:r>
          </w:p>
        </w:tc>
        <w:tc>
          <w:tcPr>
            <w:tcW w:w="1128" w:type="dxa"/>
            <w:tcBorders>
              <w:top w:val="nil"/>
              <w:left w:val="nil"/>
              <w:bottom w:val="single" w:sz="8" w:space="0" w:color="BCD6EE"/>
              <w:right w:val="single" w:sz="8" w:space="0" w:color="BCD6EE"/>
            </w:tcBorders>
            <w:shd w:val="clear" w:color="auto" w:fill="auto"/>
            <w:vAlign w:val="center"/>
          </w:tcPr>
          <w:p w14:paraId="73668579"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94,89%</w:t>
            </w:r>
          </w:p>
        </w:tc>
        <w:tc>
          <w:tcPr>
            <w:tcW w:w="971" w:type="dxa"/>
            <w:tcBorders>
              <w:top w:val="nil"/>
              <w:left w:val="nil"/>
              <w:bottom w:val="single" w:sz="8" w:space="0" w:color="BCD6EE"/>
              <w:right w:val="single" w:sz="8" w:space="0" w:color="BCD6EE"/>
            </w:tcBorders>
          </w:tcPr>
          <w:p w14:paraId="3F1B5B0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100,0%</w:t>
            </w:r>
          </w:p>
        </w:tc>
      </w:tr>
      <w:tr w:rsidR="00E440CE" w:rsidRPr="00ED7B99" w14:paraId="3B4E9C69"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2A6FEC25"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Posavski</w:t>
            </w:r>
          </w:p>
        </w:tc>
        <w:tc>
          <w:tcPr>
            <w:tcW w:w="1128" w:type="dxa"/>
            <w:tcBorders>
              <w:top w:val="nil"/>
              <w:left w:val="nil"/>
              <w:bottom w:val="single" w:sz="8" w:space="0" w:color="BCD6EE"/>
              <w:right w:val="single" w:sz="8" w:space="0" w:color="BCD6EE"/>
            </w:tcBorders>
            <w:shd w:val="clear" w:color="auto" w:fill="auto"/>
            <w:vAlign w:val="center"/>
          </w:tcPr>
          <w:p w14:paraId="22C30C01"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57,30%</w:t>
            </w:r>
          </w:p>
        </w:tc>
        <w:tc>
          <w:tcPr>
            <w:tcW w:w="1128" w:type="dxa"/>
            <w:tcBorders>
              <w:top w:val="nil"/>
              <w:left w:val="nil"/>
              <w:bottom w:val="single" w:sz="8" w:space="0" w:color="BCD6EE"/>
              <w:right w:val="single" w:sz="8" w:space="0" w:color="BCD6EE"/>
            </w:tcBorders>
            <w:shd w:val="clear" w:color="auto" w:fill="auto"/>
            <w:vAlign w:val="center"/>
          </w:tcPr>
          <w:p w14:paraId="2FB03D8F"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56,26%</w:t>
            </w:r>
          </w:p>
        </w:tc>
        <w:tc>
          <w:tcPr>
            <w:tcW w:w="1122" w:type="dxa"/>
            <w:tcBorders>
              <w:top w:val="nil"/>
              <w:left w:val="nil"/>
              <w:bottom w:val="single" w:sz="8" w:space="0" w:color="BCD6EE"/>
              <w:right w:val="single" w:sz="8" w:space="0" w:color="BCD6EE"/>
            </w:tcBorders>
            <w:shd w:val="clear" w:color="auto" w:fill="auto"/>
            <w:vAlign w:val="center"/>
          </w:tcPr>
          <w:p w14:paraId="17365D7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57,10%</w:t>
            </w:r>
          </w:p>
        </w:tc>
        <w:tc>
          <w:tcPr>
            <w:tcW w:w="1131" w:type="dxa"/>
            <w:tcBorders>
              <w:top w:val="nil"/>
              <w:left w:val="nil"/>
              <w:bottom w:val="single" w:sz="8" w:space="0" w:color="BCD6EE"/>
              <w:right w:val="single" w:sz="8" w:space="0" w:color="BCD6EE"/>
            </w:tcBorders>
            <w:shd w:val="clear" w:color="auto" w:fill="auto"/>
            <w:vAlign w:val="center"/>
          </w:tcPr>
          <w:p w14:paraId="1BAC286C"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47,59%</w:t>
            </w:r>
          </w:p>
        </w:tc>
        <w:tc>
          <w:tcPr>
            <w:tcW w:w="1128" w:type="dxa"/>
            <w:tcBorders>
              <w:top w:val="nil"/>
              <w:left w:val="nil"/>
              <w:bottom w:val="single" w:sz="8" w:space="0" w:color="BCD6EE"/>
              <w:right w:val="single" w:sz="8" w:space="0" w:color="BCD6EE"/>
            </w:tcBorders>
            <w:shd w:val="clear" w:color="auto" w:fill="auto"/>
            <w:vAlign w:val="center"/>
          </w:tcPr>
          <w:p w14:paraId="369785AF"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49,41%</w:t>
            </w:r>
          </w:p>
        </w:tc>
        <w:tc>
          <w:tcPr>
            <w:tcW w:w="971" w:type="dxa"/>
            <w:tcBorders>
              <w:top w:val="nil"/>
              <w:left w:val="nil"/>
              <w:bottom w:val="single" w:sz="8" w:space="0" w:color="BCD6EE"/>
              <w:right w:val="single" w:sz="8" w:space="0" w:color="BCD6EE"/>
            </w:tcBorders>
          </w:tcPr>
          <w:p w14:paraId="6DF06B3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50,1%</w:t>
            </w:r>
          </w:p>
        </w:tc>
      </w:tr>
      <w:tr w:rsidR="00E440CE" w:rsidRPr="00ED7B99" w14:paraId="5C5DA89E"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51D34A3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Tuzlanski</w:t>
            </w:r>
          </w:p>
        </w:tc>
        <w:tc>
          <w:tcPr>
            <w:tcW w:w="1128" w:type="dxa"/>
            <w:tcBorders>
              <w:top w:val="nil"/>
              <w:left w:val="nil"/>
              <w:bottom w:val="single" w:sz="8" w:space="0" w:color="BCD6EE"/>
              <w:right w:val="single" w:sz="8" w:space="0" w:color="BCD6EE"/>
            </w:tcBorders>
            <w:shd w:val="clear" w:color="auto" w:fill="auto"/>
            <w:vAlign w:val="center"/>
          </w:tcPr>
          <w:p w14:paraId="31D363F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82,05%</w:t>
            </w:r>
          </w:p>
        </w:tc>
        <w:tc>
          <w:tcPr>
            <w:tcW w:w="1128" w:type="dxa"/>
            <w:tcBorders>
              <w:top w:val="nil"/>
              <w:left w:val="nil"/>
              <w:bottom w:val="single" w:sz="8" w:space="0" w:color="BCD6EE"/>
              <w:right w:val="single" w:sz="8" w:space="0" w:color="BCD6EE"/>
            </w:tcBorders>
            <w:shd w:val="clear" w:color="auto" w:fill="auto"/>
            <w:vAlign w:val="center"/>
          </w:tcPr>
          <w:p w14:paraId="15AFE7B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86,47%</w:t>
            </w:r>
          </w:p>
        </w:tc>
        <w:tc>
          <w:tcPr>
            <w:tcW w:w="1122" w:type="dxa"/>
            <w:tcBorders>
              <w:top w:val="nil"/>
              <w:left w:val="nil"/>
              <w:bottom w:val="single" w:sz="8" w:space="0" w:color="BCD6EE"/>
              <w:right w:val="single" w:sz="8" w:space="0" w:color="BCD6EE"/>
            </w:tcBorders>
            <w:shd w:val="clear" w:color="auto" w:fill="auto"/>
            <w:vAlign w:val="center"/>
          </w:tcPr>
          <w:p w14:paraId="1858DBD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89,06%</w:t>
            </w:r>
          </w:p>
        </w:tc>
        <w:tc>
          <w:tcPr>
            <w:tcW w:w="1131" w:type="dxa"/>
            <w:tcBorders>
              <w:top w:val="nil"/>
              <w:left w:val="nil"/>
              <w:bottom w:val="single" w:sz="8" w:space="0" w:color="BCD6EE"/>
              <w:right w:val="single" w:sz="8" w:space="0" w:color="BCD6EE"/>
            </w:tcBorders>
            <w:shd w:val="clear" w:color="auto" w:fill="auto"/>
            <w:vAlign w:val="center"/>
          </w:tcPr>
          <w:p w14:paraId="23F61C0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83,64%</w:t>
            </w:r>
          </w:p>
        </w:tc>
        <w:tc>
          <w:tcPr>
            <w:tcW w:w="1128" w:type="dxa"/>
            <w:tcBorders>
              <w:top w:val="nil"/>
              <w:left w:val="nil"/>
              <w:bottom w:val="single" w:sz="8" w:space="0" w:color="BCD6EE"/>
              <w:right w:val="single" w:sz="8" w:space="0" w:color="BCD6EE"/>
            </w:tcBorders>
            <w:shd w:val="clear" w:color="auto" w:fill="auto"/>
            <w:vAlign w:val="center"/>
          </w:tcPr>
          <w:p w14:paraId="339DDB03"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89,30%</w:t>
            </w:r>
          </w:p>
        </w:tc>
        <w:tc>
          <w:tcPr>
            <w:tcW w:w="971" w:type="dxa"/>
            <w:tcBorders>
              <w:top w:val="nil"/>
              <w:left w:val="nil"/>
              <w:bottom w:val="single" w:sz="8" w:space="0" w:color="BCD6EE"/>
              <w:right w:val="single" w:sz="8" w:space="0" w:color="BCD6EE"/>
            </w:tcBorders>
          </w:tcPr>
          <w:p w14:paraId="49E7CAD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110,5%</w:t>
            </w:r>
          </w:p>
        </w:tc>
      </w:tr>
      <w:tr w:rsidR="00E440CE" w:rsidRPr="00ED7B99" w14:paraId="51285562"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101AA1AC"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Zeničko-dobojski</w:t>
            </w:r>
          </w:p>
        </w:tc>
        <w:tc>
          <w:tcPr>
            <w:tcW w:w="1128" w:type="dxa"/>
            <w:tcBorders>
              <w:top w:val="nil"/>
              <w:left w:val="nil"/>
              <w:bottom w:val="single" w:sz="8" w:space="0" w:color="BCD6EE"/>
              <w:right w:val="single" w:sz="8" w:space="0" w:color="BCD6EE"/>
            </w:tcBorders>
            <w:shd w:val="clear" w:color="auto" w:fill="auto"/>
            <w:vAlign w:val="center"/>
          </w:tcPr>
          <w:p w14:paraId="68B9090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95,97%</w:t>
            </w:r>
          </w:p>
        </w:tc>
        <w:tc>
          <w:tcPr>
            <w:tcW w:w="1128" w:type="dxa"/>
            <w:tcBorders>
              <w:top w:val="nil"/>
              <w:left w:val="nil"/>
              <w:bottom w:val="single" w:sz="8" w:space="0" w:color="BCD6EE"/>
              <w:right w:val="single" w:sz="8" w:space="0" w:color="BCD6EE"/>
            </w:tcBorders>
            <w:shd w:val="clear" w:color="auto" w:fill="auto"/>
            <w:vAlign w:val="center"/>
          </w:tcPr>
          <w:p w14:paraId="1D9BCDE0"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90,30%</w:t>
            </w:r>
          </w:p>
        </w:tc>
        <w:tc>
          <w:tcPr>
            <w:tcW w:w="1122" w:type="dxa"/>
            <w:tcBorders>
              <w:top w:val="nil"/>
              <w:left w:val="nil"/>
              <w:bottom w:val="single" w:sz="8" w:space="0" w:color="BCD6EE"/>
              <w:right w:val="single" w:sz="8" w:space="0" w:color="BCD6EE"/>
            </w:tcBorders>
            <w:shd w:val="clear" w:color="auto" w:fill="auto"/>
            <w:vAlign w:val="center"/>
          </w:tcPr>
          <w:p w14:paraId="7D35C1A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94,21%</w:t>
            </w:r>
          </w:p>
        </w:tc>
        <w:tc>
          <w:tcPr>
            <w:tcW w:w="1131" w:type="dxa"/>
            <w:tcBorders>
              <w:top w:val="nil"/>
              <w:left w:val="nil"/>
              <w:bottom w:val="single" w:sz="8" w:space="0" w:color="BCD6EE"/>
              <w:right w:val="single" w:sz="8" w:space="0" w:color="BCD6EE"/>
            </w:tcBorders>
            <w:shd w:val="clear" w:color="auto" w:fill="auto"/>
            <w:vAlign w:val="center"/>
          </w:tcPr>
          <w:p w14:paraId="1253BF4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88,28%</w:t>
            </w:r>
          </w:p>
        </w:tc>
        <w:tc>
          <w:tcPr>
            <w:tcW w:w="1128" w:type="dxa"/>
            <w:tcBorders>
              <w:top w:val="nil"/>
              <w:left w:val="nil"/>
              <w:bottom w:val="single" w:sz="8" w:space="0" w:color="BCD6EE"/>
              <w:right w:val="single" w:sz="8" w:space="0" w:color="BCD6EE"/>
            </w:tcBorders>
            <w:shd w:val="clear" w:color="auto" w:fill="auto"/>
            <w:vAlign w:val="center"/>
          </w:tcPr>
          <w:p w14:paraId="31DDA78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96,96%</w:t>
            </w:r>
          </w:p>
        </w:tc>
        <w:tc>
          <w:tcPr>
            <w:tcW w:w="971" w:type="dxa"/>
            <w:tcBorders>
              <w:top w:val="nil"/>
              <w:left w:val="nil"/>
              <w:bottom w:val="single" w:sz="8" w:space="0" w:color="BCD6EE"/>
              <w:right w:val="single" w:sz="8" w:space="0" w:color="BCD6EE"/>
            </w:tcBorders>
          </w:tcPr>
          <w:p w14:paraId="1F711B12"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106,6%</w:t>
            </w:r>
          </w:p>
        </w:tc>
      </w:tr>
      <w:tr w:rsidR="00E440CE" w:rsidRPr="00ED7B99" w14:paraId="6C374499"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1360744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Bosansko-podrinjski</w:t>
            </w:r>
          </w:p>
        </w:tc>
        <w:tc>
          <w:tcPr>
            <w:tcW w:w="1128" w:type="dxa"/>
            <w:tcBorders>
              <w:top w:val="nil"/>
              <w:left w:val="nil"/>
              <w:bottom w:val="single" w:sz="8" w:space="0" w:color="BCD6EE"/>
              <w:right w:val="single" w:sz="8" w:space="0" w:color="BCD6EE"/>
            </w:tcBorders>
            <w:shd w:val="clear" w:color="auto" w:fill="auto"/>
            <w:vAlign w:val="center"/>
          </w:tcPr>
          <w:p w14:paraId="7658D1C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169,45%</w:t>
            </w:r>
          </w:p>
        </w:tc>
        <w:tc>
          <w:tcPr>
            <w:tcW w:w="1128" w:type="dxa"/>
            <w:tcBorders>
              <w:top w:val="nil"/>
              <w:left w:val="nil"/>
              <w:bottom w:val="single" w:sz="8" w:space="0" w:color="BCD6EE"/>
              <w:right w:val="single" w:sz="8" w:space="0" w:color="BCD6EE"/>
            </w:tcBorders>
            <w:shd w:val="clear" w:color="auto" w:fill="auto"/>
            <w:vAlign w:val="center"/>
          </w:tcPr>
          <w:p w14:paraId="4874BC4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158,48%</w:t>
            </w:r>
          </w:p>
        </w:tc>
        <w:tc>
          <w:tcPr>
            <w:tcW w:w="1122" w:type="dxa"/>
            <w:tcBorders>
              <w:top w:val="nil"/>
              <w:left w:val="nil"/>
              <w:bottom w:val="single" w:sz="8" w:space="0" w:color="BCD6EE"/>
              <w:right w:val="single" w:sz="8" w:space="0" w:color="BCD6EE"/>
            </w:tcBorders>
            <w:shd w:val="clear" w:color="auto" w:fill="auto"/>
            <w:vAlign w:val="center"/>
          </w:tcPr>
          <w:p w14:paraId="4167A25F"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138,23%</w:t>
            </w:r>
          </w:p>
        </w:tc>
        <w:tc>
          <w:tcPr>
            <w:tcW w:w="1131" w:type="dxa"/>
            <w:tcBorders>
              <w:top w:val="nil"/>
              <w:left w:val="nil"/>
              <w:bottom w:val="single" w:sz="8" w:space="0" w:color="BCD6EE"/>
              <w:right w:val="single" w:sz="8" w:space="0" w:color="BCD6EE"/>
            </w:tcBorders>
            <w:shd w:val="clear" w:color="auto" w:fill="auto"/>
            <w:vAlign w:val="center"/>
          </w:tcPr>
          <w:p w14:paraId="3FCCE14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213,06%</w:t>
            </w:r>
          </w:p>
        </w:tc>
        <w:tc>
          <w:tcPr>
            <w:tcW w:w="1128" w:type="dxa"/>
            <w:tcBorders>
              <w:top w:val="nil"/>
              <w:left w:val="nil"/>
              <w:bottom w:val="single" w:sz="8" w:space="0" w:color="BCD6EE"/>
              <w:right w:val="single" w:sz="8" w:space="0" w:color="BCD6EE"/>
            </w:tcBorders>
            <w:shd w:val="clear" w:color="auto" w:fill="auto"/>
            <w:vAlign w:val="center"/>
          </w:tcPr>
          <w:p w14:paraId="31EBB85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180,28%</w:t>
            </w:r>
          </w:p>
        </w:tc>
        <w:tc>
          <w:tcPr>
            <w:tcW w:w="971" w:type="dxa"/>
            <w:tcBorders>
              <w:top w:val="nil"/>
              <w:left w:val="nil"/>
              <w:bottom w:val="single" w:sz="8" w:space="0" w:color="BCD6EE"/>
              <w:right w:val="single" w:sz="8" w:space="0" w:color="BCD6EE"/>
            </w:tcBorders>
          </w:tcPr>
          <w:p w14:paraId="3B0C918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180%</w:t>
            </w:r>
          </w:p>
        </w:tc>
      </w:tr>
      <w:tr w:rsidR="00E440CE" w:rsidRPr="00ED7B99" w14:paraId="25B105E6"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1F4FA50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Srednjobosanski</w:t>
            </w:r>
          </w:p>
        </w:tc>
        <w:tc>
          <w:tcPr>
            <w:tcW w:w="1128" w:type="dxa"/>
            <w:tcBorders>
              <w:top w:val="nil"/>
              <w:left w:val="nil"/>
              <w:bottom w:val="single" w:sz="8" w:space="0" w:color="BCD6EE"/>
              <w:right w:val="single" w:sz="8" w:space="0" w:color="BCD6EE"/>
            </w:tcBorders>
            <w:shd w:val="clear" w:color="auto" w:fill="auto"/>
            <w:vAlign w:val="center"/>
          </w:tcPr>
          <w:p w14:paraId="4D7A084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75,35%</w:t>
            </w:r>
          </w:p>
        </w:tc>
        <w:tc>
          <w:tcPr>
            <w:tcW w:w="1128" w:type="dxa"/>
            <w:tcBorders>
              <w:top w:val="nil"/>
              <w:left w:val="nil"/>
              <w:bottom w:val="single" w:sz="8" w:space="0" w:color="BCD6EE"/>
              <w:right w:val="single" w:sz="8" w:space="0" w:color="BCD6EE"/>
            </w:tcBorders>
            <w:shd w:val="clear" w:color="auto" w:fill="auto"/>
            <w:vAlign w:val="center"/>
          </w:tcPr>
          <w:p w14:paraId="5D9C81B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73,36%</w:t>
            </w:r>
          </w:p>
        </w:tc>
        <w:tc>
          <w:tcPr>
            <w:tcW w:w="1122" w:type="dxa"/>
            <w:tcBorders>
              <w:top w:val="nil"/>
              <w:left w:val="nil"/>
              <w:bottom w:val="single" w:sz="8" w:space="0" w:color="BCD6EE"/>
              <w:right w:val="single" w:sz="8" w:space="0" w:color="BCD6EE"/>
            </w:tcBorders>
            <w:shd w:val="clear" w:color="auto" w:fill="auto"/>
            <w:vAlign w:val="center"/>
          </w:tcPr>
          <w:p w14:paraId="5829B90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78,55%</w:t>
            </w:r>
          </w:p>
        </w:tc>
        <w:tc>
          <w:tcPr>
            <w:tcW w:w="1131" w:type="dxa"/>
            <w:tcBorders>
              <w:top w:val="nil"/>
              <w:left w:val="nil"/>
              <w:bottom w:val="single" w:sz="8" w:space="0" w:color="BCD6EE"/>
              <w:right w:val="single" w:sz="8" w:space="0" w:color="BCD6EE"/>
            </w:tcBorders>
            <w:shd w:val="clear" w:color="auto" w:fill="auto"/>
            <w:vAlign w:val="center"/>
          </w:tcPr>
          <w:p w14:paraId="53AC1011"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69,83%</w:t>
            </w:r>
          </w:p>
        </w:tc>
        <w:tc>
          <w:tcPr>
            <w:tcW w:w="1128" w:type="dxa"/>
            <w:tcBorders>
              <w:top w:val="nil"/>
              <w:left w:val="nil"/>
              <w:bottom w:val="single" w:sz="8" w:space="0" w:color="BCD6EE"/>
              <w:right w:val="single" w:sz="8" w:space="0" w:color="BCD6EE"/>
            </w:tcBorders>
            <w:shd w:val="clear" w:color="auto" w:fill="auto"/>
            <w:vAlign w:val="center"/>
          </w:tcPr>
          <w:p w14:paraId="0AF143C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74,97%</w:t>
            </w:r>
          </w:p>
        </w:tc>
        <w:tc>
          <w:tcPr>
            <w:tcW w:w="971" w:type="dxa"/>
            <w:tcBorders>
              <w:top w:val="nil"/>
              <w:left w:val="nil"/>
              <w:bottom w:val="single" w:sz="8" w:space="0" w:color="BCD6EE"/>
              <w:right w:val="single" w:sz="8" w:space="0" w:color="BCD6EE"/>
            </w:tcBorders>
          </w:tcPr>
          <w:p w14:paraId="64C2F15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75,0%</w:t>
            </w:r>
          </w:p>
        </w:tc>
      </w:tr>
      <w:tr w:rsidR="00E440CE" w:rsidRPr="00ED7B99" w14:paraId="4DEACFBF"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133C0EFE"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Hercegovačko- neretvanski</w:t>
            </w:r>
          </w:p>
        </w:tc>
        <w:tc>
          <w:tcPr>
            <w:tcW w:w="1128" w:type="dxa"/>
            <w:tcBorders>
              <w:top w:val="nil"/>
              <w:left w:val="nil"/>
              <w:bottom w:val="single" w:sz="8" w:space="0" w:color="BCD6EE"/>
              <w:right w:val="single" w:sz="8" w:space="0" w:color="BCD6EE"/>
            </w:tcBorders>
            <w:shd w:val="clear" w:color="auto" w:fill="auto"/>
            <w:vAlign w:val="center"/>
          </w:tcPr>
          <w:p w14:paraId="0217CFD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59,34%</w:t>
            </w:r>
          </w:p>
        </w:tc>
        <w:tc>
          <w:tcPr>
            <w:tcW w:w="1128" w:type="dxa"/>
            <w:tcBorders>
              <w:top w:val="nil"/>
              <w:left w:val="nil"/>
              <w:bottom w:val="single" w:sz="8" w:space="0" w:color="BCD6EE"/>
              <w:right w:val="single" w:sz="8" w:space="0" w:color="BCD6EE"/>
            </w:tcBorders>
            <w:shd w:val="clear" w:color="auto" w:fill="auto"/>
            <w:vAlign w:val="center"/>
          </w:tcPr>
          <w:p w14:paraId="668DFD7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57,31%</w:t>
            </w:r>
          </w:p>
        </w:tc>
        <w:tc>
          <w:tcPr>
            <w:tcW w:w="1122" w:type="dxa"/>
            <w:tcBorders>
              <w:top w:val="nil"/>
              <w:left w:val="nil"/>
              <w:bottom w:val="single" w:sz="8" w:space="0" w:color="BCD6EE"/>
              <w:right w:val="single" w:sz="8" w:space="0" w:color="BCD6EE"/>
            </w:tcBorders>
            <w:shd w:val="clear" w:color="auto" w:fill="auto"/>
            <w:vAlign w:val="center"/>
          </w:tcPr>
          <w:p w14:paraId="7042AB0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61,87%</w:t>
            </w:r>
          </w:p>
        </w:tc>
        <w:tc>
          <w:tcPr>
            <w:tcW w:w="1131" w:type="dxa"/>
            <w:tcBorders>
              <w:top w:val="nil"/>
              <w:left w:val="nil"/>
              <w:bottom w:val="single" w:sz="8" w:space="0" w:color="BCD6EE"/>
              <w:right w:val="single" w:sz="8" w:space="0" w:color="BCD6EE"/>
            </w:tcBorders>
            <w:shd w:val="clear" w:color="auto" w:fill="auto"/>
            <w:vAlign w:val="center"/>
          </w:tcPr>
          <w:p w14:paraId="48A9389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49,89%</w:t>
            </w:r>
          </w:p>
        </w:tc>
        <w:tc>
          <w:tcPr>
            <w:tcW w:w="1128" w:type="dxa"/>
            <w:tcBorders>
              <w:top w:val="nil"/>
              <w:left w:val="nil"/>
              <w:bottom w:val="single" w:sz="8" w:space="0" w:color="BCD6EE"/>
              <w:right w:val="single" w:sz="8" w:space="0" w:color="BCD6EE"/>
            </w:tcBorders>
            <w:shd w:val="clear" w:color="auto" w:fill="auto"/>
            <w:vAlign w:val="center"/>
          </w:tcPr>
          <w:p w14:paraId="1EECC01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45,88%</w:t>
            </w:r>
          </w:p>
        </w:tc>
        <w:tc>
          <w:tcPr>
            <w:tcW w:w="971" w:type="dxa"/>
            <w:tcBorders>
              <w:top w:val="nil"/>
              <w:left w:val="nil"/>
              <w:bottom w:val="single" w:sz="8" w:space="0" w:color="BCD6EE"/>
              <w:right w:val="single" w:sz="8" w:space="0" w:color="BCD6EE"/>
            </w:tcBorders>
          </w:tcPr>
          <w:p w14:paraId="7B92E86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45,9%</w:t>
            </w:r>
          </w:p>
        </w:tc>
      </w:tr>
      <w:tr w:rsidR="00E440CE" w:rsidRPr="00ED7B99" w14:paraId="00C61F40"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4430B6DE"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Zapadnohercegovački</w:t>
            </w:r>
          </w:p>
        </w:tc>
        <w:tc>
          <w:tcPr>
            <w:tcW w:w="1128" w:type="dxa"/>
            <w:tcBorders>
              <w:top w:val="nil"/>
              <w:left w:val="nil"/>
              <w:bottom w:val="single" w:sz="8" w:space="0" w:color="BCD6EE"/>
              <w:right w:val="single" w:sz="8" w:space="0" w:color="BCD6EE"/>
            </w:tcBorders>
            <w:shd w:val="clear" w:color="auto" w:fill="auto"/>
            <w:vAlign w:val="center"/>
          </w:tcPr>
          <w:p w14:paraId="1BE42C61"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33,62%</w:t>
            </w:r>
          </w:p>
        </w:tc>
        <w:tc>
          <w:tcPr>
            <w:tcW w:w="1128" w:type="dxa"/>
            <w:tcBorders>
              <w:top w:val="nil"/>
              <w:left w:val="nil"/>
              <w:bottom w:val="single" w:sz="8" w:space="0" w:color="BCD6EE"/>
              <w:right w:val="single" w:sz="8" w:space="0" w:color="BCD6EE"/>
            </w:tcBorders>
            <w:shd w:val="clear" w:color="auto" w:fill="auto"/>
            <w:vAlign w:val="center"/>
          </w:tcPr>
          <w:p w14:paraId="1B8754E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36,82%</w:t>
            </w:r>
          </w:p>
        </w:tc>
        <w:tc>
          <w:tcPr>
            <w:tcW w:w="1122" w:type="dxa"/>
            <w:tcBorders>
              <w:top w:val="nil"/>
              <w:left w:val="nil"/>
              <w:bottom w:val="single" w:sz="8" w:space="0" w:color="BCD6EE"/>
              <w:right w:val="single" w:sz="8" w:space="0" w:color="BCD6EE"/>
            </w:tcBorders>
            <w:shd w:val="clear" w:color="auto" w:fill="auto"/>
            <w:vAlign w:val="center"/>
          </w:tcPr>
          <w:p w14:paraId="31D0658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37,57%</w:t>
            </w:r>
          </w:p>
        </w:tc>
        <w:tc>
          <w:tcPr>
            <w:tcW w:w="1131" w:type="dxa"/>
            <w:tcBorders>
              <w:top w:val="nil"/>
              <w:left w:val="nil"/>
              <w:bottom w:val="single" w:sz="8" w:space="0" w:color="BCD6EE"/>
              <w:right w:val="single" w:sz="8" w:space="0" w:color="BCD6EE"/>
            </w:tcBorders>
            <w:shd w:val="clear" w:color="auto" w:fill="auto"/>
            <w:vAlign w:val="center"/>
          </w:tcPr>
          <w:p w14:paraId="22D3B673"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37,57%</w:t>
            </w:r>
          </w:p>
        </w:tc>
        <w:tc>
          <w:tcPr>
            <w:tcW w:w="1128" w:type="dxa"/>
            <w:tcBorders>
              <w:top w:val="nil"/>
              <w:left w:val="nil"/>
              <w:bottom w:val="single" w:sz="8" w:space="0" w:color="BCD6EE"/>
              <w:right w:val="single" w:sz="8" w:space="0" w:color="BCD6EE"/>
            </w:tcBorders>
            <w:shd w:val="clear" w:color="auto" w:fill="auto"/>
            <w:vAlign w:val="center"/>
          </w:tcPr>
          <w:p w14:paraId="2F0B1B6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40,58%</w:t>
            </w:r>
          </w:p>
        </w:tc>
        <w:tc>
          <w:tcPr>
            <w:tcW w:w="971" w:type="dxa"/>
            <w:tcBorders>
              <w:top w:val="nil"/>
              <w:left w:val="nil"/>
              <w:bottom w:val="single" w:sz="8" w:space="0" w:color="BCD6EE"/>
              <w:right w:val="single" w:sz="8" w:space="0" w:color="BCD6EE"/>
            </w:tcBorders>
          </w:tcPr>
          <w:p w14:paraId="58278FD7"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40,6%</w:t>
            </w:r>
          </w:p>
        </w:tc>
      </w:tr>
      <w:tr w:rsidR="00E440CE" w:rsidRPr="00ED7B99" w14:paraId="34B1304A"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4BA97C31"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Sarajevo</w:t>
            </w:r>
          </w:p>
        </w:tc>
        <w:tc>
          <w:tcPr>
            <w:tcW w:w="1128" w:type="dxa"/>
            <w:tcBorders>
              <w:top w:val="nil"/>
              <w:left w:val="nil"/>
              <w:bottom w:val="single" w:sz="8" w:space="0" w:color="BCD6EE"/>
              <w:right w:val="single" w:sz="8" w:space="0" w:color="BCD6EE"/>
            </w:tcBorders>
            <w:shd w:val="clear" w:color="auto" w:fill="auto"/>
            <w:vAlign w:val="center"/>
          </w:tcPr>
          <w:p w14:paraId="400E4882"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28,33%</w:t>
            </w:r>
          </w:p>
        </w:tc>
        <w:tc>
          <w:tcPr>
            <w:tcW w:w="1128" w:type="dxa"/>
            <w:tcBorders>
              <w:top w:val="nil"/>
              <w:left w:val="nil"/>
              <w:bottom w:val="single" w:sz="8" w:space="0" w:color="BCD6EE"/>
              <w:right w:val="single" w:sz="8" w:space="0" w:color="BCD6EE"/>
            </w:tcBorders>
            <w:shd w:val="clear" w:color="auto" w:fill="auto"/>
            <w:vAlign w:val="center"/>
          </w:tcPr>
          <w:p w14:paraId="7F0066F5"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34,49%</w:t>
            </w:r>
          </w:p>
        </w:tc>
        <w:tc>
          <w:tcPr>
            <w:tcW w:w="1122" w:type="dxa"/>
            <w:tcBorders>
              <w:top w:val="nil"/>
              <w:left w:val="nil"/>
              <w:bottom w:val="single" w:sz="8" w:space="0" w:color="BCD6EE"/>
              <w:right w:val="single" w:sz="8" w:space="0" w:color="BCD6EE"/>
            </w:tcBorders>
            <w:shd w:val="clear" w:color="auto" w:fill="auto"/>
            <w:vAlign w:val="center"/>
          </w:tcPr>
          <w:p w14:paraId="4D7ACD00"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32,93%</w:t>
            </w:r>
          </w:p>
        </w:tc>
        <w:tc>
          <w:tcPr>
            <w:tcW w:w="1131" w:type="dxa"/>
            <w:tcBorders>
              <w:top w:val="nil"/>
              <w:left w:val="nil"/>
              <w:bottom w:val="single" w:sz="8" w:space="0" w:color="BCD6EE"/>
              <w:right w:val="single" w:sz="8" w:space="0" w:color="BCD6EE"/>
            </w:tcBorders>
            <w:shd w:val="clear" w:color="auto" w:fill="auto"/>
            <w:vAlign w:val="center"/>
          </w:tcPr>
          <w:p w14:paraId="7B17468C"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29,30%</w:t>
            </w:r>
          </w:p>
        </w:tc>
        <w:tc>
          <w:tcPr>
            <w:tcW w:w="1128" w:type="dxa"/>
            <w:tcBorders>
              <w:top w:val="nil"/>
              <w:left w:val="nil"/>
              <w:bottom w:val="single" w:sz="8" w:space="0" w:color="BCD6EE"/>
              <w:right w:val="single" w:sz="8" w:space="0" w:color="BCD6EE"/>
            </w:tcBorders>
            <w:shd w:val="clear" w:color="auto" w:fill="auto"/>
            <w:vAlign w:val="center"/>
          </w:tcPr>
          <w:p w14:paraId="46FA68F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32,16%</w:t>
            </w:r>
          </w:p>
        </w:tc>
        <w:tc>
          <w:tcPr>
            <w:tcW w:w="971" w:type="dxa"/>
            <w:tcBorders>
              <w:top w:val="nil"/>
              <w:left w:val="nil"/>
              <w:bottom w:val="single" w:sz="8" w:space="0" w:color="BCD6EE"/>
              <w:right w:val="single" w:sz="8" w:space="0" w:color="BCD6EE"/>
            </w:tcBorders>
          </w:tcPr>
          <w:p w14:paraId="0F9A7CC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32,4%</w:t>
            </w:r>
          </w:p>
        </w:tc>
      </w:tr>
      <w:tr w:rsidR="00E440CE" w:rsidRPr="00ED7B99" w14:paraId="00447D80" w14:textId="77777777">
        <w:trPr>
          <w:trHeight w:val="315"/>
        </w:trPr>
        <w:tc>
          <w:tcPr>
            <w:tcW w:w="2639" w:type="dxa"/>
            <w:tcBorders>
              <w:top w:val="nil"/>
              <w:left w:val="single" w:sz="8" w:space="0" w:color="BCD6EE"/>
              <w:bottom w:val="single" w:sz="8" w:space="0" w:color="BCD6EE"/>
              <w:right w:val="single" w:sz="8" w:space="0" w:color="BCD6EE"/>
            </w:tcBorders>
            <w:shd w:val="clear" w:color="auto" w:fill="auto"/>
            <w:vAlign w:val="center"/>
          </w:tcPr>
          <w:p w14:paraId="0C964C7F"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10</w:t>
            </w:r>
          </w:p>
        </w:tc>
        <w:tc>
          <w:tcPr>
            <w:tcW w:w="1128" w:type="dxa"/>
            <w:tcBorders>
              <w:top w:val="nil"/>
              <w:left w:val="nil"/>
              <w:bottom w:val="single" w:sz="8" w:space="0" w:color="BCD6EE"/>
              <w:right w:val="single" w:sz="8" w:space="0" w:color="BCD6EE"/>
            </w:tcBorders>
            <w:shd w:val="clear" w:color="auto" w:fill="auto"/>
            <w:vAlign w:val="center"/>
          </w:tcPr>
          <w:p w14:paraId="7D014DCB"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61,71%</w:t>
            </w:r>
          </w:p>
        </w:tc>
        <w:tc>
          <w:tcPr>
            <w:tcW w:w="1128" w:type="dxa"/>
            <w:tcBorders>
              <w:top w:val="nil"/>
              <w:left w:val="nil"/>
              <w:bottom w:val="single" w:sz="8" w:space="0" w:color="BCD6EE"/>
              <w:right w:val="single" w:sz="8" w:space="0" w:color="BCD6EE"/>
            </w:tcBorders>
            <w:shd w:val="clear" w:color="auto" w:fill="auto"/>
            <w:vAlign w:val="center"/>
          </w:tcPr>
          <w:p w14:paraId="361264A6"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76,42%</w:t>
            </w:r>
          </w:p>
        </w:tc>
        <w:tc>
          <w:tcPr>
            <w:tcW w:w="1122" w:type="dxa"/>
            <w:tcBorders>
              <w:top w:val="nil"/>
              <w:left w:val="nil"/>
              <w:bottom w:val="single" w:sz="8" w:space="0" w:color="BCD6EE"/>
              <w:right w:val="single" w:sz="8" w:space="0" w:color="BCD6EE"/>
            </w:tcBorders>
            <w:shd w:val="clear" w:color="auto" w:fill="auto"/>
            <w:vAlign w:val="center"/>
          </w:tcPr>
          <w:p w14:paraId="7AAC108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75,29%</w:t>
            </w:r>
          </w:p>
        </w:tc>
        <w:tc>
          <w:tcPr>
            <w:tcW w:w="1131" w:type="dxa"/>
            <w:tcBorders>
              <w:top w:val="nil"/>
              <w:left w:val="nil"/>
              <w:bottom w:val="single" w:sz="8" w:space="0" w:color="BCD6EE"/>
              <w:right w:val="single" w:sz="8" w:space="0" w:color="BCD6EE"/>
            </w:tcBorders>
            <w:shd w:val="clear" w:color="auto" w:fill="auto"/>
            <w:vAlign w:val="center"/>
          </w:tcPr>
          <w:p w14:paraId="36036EF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109,48%</w:t>
            </w:r>
          </w:p>
        </w:tc>
        <w:tc>
          <w:tcPr>
            <w:tcW w:w="1128" w:type="dxa"/>
            <w:tcBorders>
              <w:top w:val="nil"/>
              <w:left w:val="nil"/>
              <w:bottom w:val="single" w:sz="8" w:space="0" w:color="BCD6EE"/>
              <w:right w:val="single" w:sz="8" w:space="0" w:color="BCD6EE"/>
            </w:tcBorders>
            <w:shd w:val="clear" w:color="auto" w:fill="auto"/>
            <w:vAlign w:val="center"/>
          </w:tcPr>
          <w:p w14:paraId="3CC53594"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117,11%</w:t>
            </w:r>
          </w:p>
        </w:tc>
        <w:tc>
          <w:tcPr>
            <w:tcW w:w="971" w:type="dxa"/>
            <w:tcBorders>
              <w:top w:val="nil"/>
              <w:left w:val="nil"/>
              <w:bottom w:val="single" w:sz="8" w:space="0" w:color="BCD6EE"/>
              <w:right w:val="single" w:sz="8" w:space="0" w:color="BCD6EE"/>
            </w:tcBorders>
          </w:tcPr>
          <w:p w14:paraId="74A5308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134,1%</w:t>
            </w:r>
          </w:p>
        </w:tc>
      </w:tr>
      <w:tr w:rsidR="00E440CE" w:rsidRPr="00ED7B99" w14:paraId="7CFE46B5" w14:textId="77777777" w:rsidTr="00683004">
        <w:trPr>
          <w:trHeight w:val="315"/>
        </w:trPr>
        <w:tc>
          <w:tcPr>
            <w:tcW w:w="2639"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5E8F36BE"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Federacija BiH</w:t>
            </w:r>
          </w:p>
        </w:tc>
        <w:tc>
          <w:tcPr>
            <w:tcW w:w="1128" w:type="dxa"/>
            <w:tcBorders>
              <w:top w:val="nil"/>
              <w:left w:val="nil"/>
              <w:bottom w:val="single" w:sz="8" w:space="0" w:color="BCD6EE"/>
              <w:right w:val="single" w:sz="8" w:space="0" w:color="BCD6EE"/>
            </w:tcBorders>
            <w:shd w:val="clear" w:color="auto" w:fill="BCD9DE" w:themeFill="accent5" w:themeFillTint="66"/>
            <w:vAlign w:val="center"/>
          </w:tcPr>
          <w:p w14:paraId="37340D6A"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57,59%</w:t>
            </w:r>
          </w:p>
        </w:tc>
        <w:tc>
          <w:tcPr>
            <w:tcW w:w="1128" w:type="dxa"/>
            <w:tcBorders>
              <w:top w:val="nil"/>
              <w:left w:val="nil"/>
              <w:bottom w:val="single" w:sz="8" w:space="0" w:color="BCD6EE"/>
              <w:right w:val="single" w:sz="8" w:space="0" w:color="BCD6EE"/>
            </w:tcBorders>
            <w:shd w:val="clear" w:color="auto" w:fill="BCD9DE" w:themeFill="accent5" w:themeFillTint="66"/>
            <w:vAlign w:val="center"/>
          </w:tcPr>
          <w:p w14:paraId="62F35D11"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58,51%</w:t>
            </w:r>
          </w:p>
        </w:tc>
        <w:tc>
          <w:tcPr>
            <w:tcW w:w="1122" w:type="dxa"/>
            <w:tcBorders>
              <w:top w:val="nil"/>
              <w:left w:val="nil"/>
              <w:bottom w:val="single" w:sz="8" w:space="0" w:color="BCD6EE"/>
              <w:right w:val="single" w:sz="8" w:space="0" w:color="BCD6EE"/>
            </w:tcBorders>
            <w:shd w:val="clear" w:color="auto" w:fill="BCD9DE" w:themeFill="accent5" w:themeFillTint="66"/>
            <w:vAlign w:val="center"/>
          </w:tcPr>
          <w:p w14:paraId="2D4652E8"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59,98%</w:t>
            </w:r>
          </w:p>
        </w:tc>
        <w:tc>
          <w:tcPr>
            <w:tcW w:w="1131" w:type="dxa"/>
            <w:tcBorders>
              <w:top w:val="nil"/>
              <w:left w:val="nil"/>
              <w:bottom w:val="single" w:sz="8" w:space="0" w:color="BCD6EE"/>
              <w:right w:val="single" w:sz="8" w:space="0" w:color="BCD6EE"/>
            </w:tcBorders>
            <w:shd w:val="clear" w:color="auto" w:fill="BCD9DE" w:themeFill="accent5" w:themeFillTint="66"/>
            <w:vAlign w:val="center"/>
          </w:tcPr>
          <w:p w14:paraId="7DE7602D"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55,37%</w:t>
            </w:r>
          </w:p>
        </w:tc>
        <w:tc>
          <w:tcPr>
            <w:tcW w:w="1128" w:type="dxa"/>
            <w:tcBorders>
              <w:top w:val="nil"/>
              <w:left w:val="nil"/>
              <w:bottom w:val="single" w:sz="8" w:space="0" w:color="BCD6EE"/>
              <w:right w:val="single" w:sz="8" w:space="0" w:color="BCD6EE"/>
            </w:tcBorders>
            <w:shd w:val="clear" w:color="auto" w:fill="BCD9DE" w:themeFill="accent5" w:themeFillTint="66"/>
            <w:vAlign w:val="center"/>
          </w:tcPr>
          <w:p w14:paraId="30618CA5"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59,14%</w:t>
            </w:r>
          </w:p>
        </w:tc>
        <w:tc>
          <w:tcPr>
            <w:tcW w:w="971" w:type="dxa"/>
            <w:tcBorders>
              <w:top w:val="nil"/>
              <w:left w:val="nil"/>
              <w:bottom w:val="single" w:sz="8" w:space="0" w:color="BCD6EE"/>
              <w:right w:val="single" w:sz="8" w:space="0" w:color="BCD6EE"/>
            </w:tcBorders>
            <w:shd w:val="clear" w:color="auto" w:fill="BCD9DE" w:themeFill="accent5" w:themeFillTint="66"/>
          </w:tcPr>
          <w:p w14:paraId="295D57CE" w14:textId="77777777" w:rsidR="00E440CE" w:rsidRPr="00ED7B99" w:rsidRDefault="003422A9">
            <w:pPr>
              <w:spacing w:after="0" w:line="240" w:lineRule="auto"/>
              <w:jc w:val="right"/>
              <w:rPr>
                <w:rFonts w:asciiTheme="majorHAnsi" w:hAnsiTheme="majorHAnsi" w:cstheme="majorHAnsi"/>
                <w:color w:val="000000"/>
                <w:sz w:val="18"/>
                <w:szCs w:val="18"/>
              </w:rPr>
            </w:pPr>
            <w:r w:rsidRPr="00ED7B99">
              <w:rPr>
                <w:rFonts w:asciiTheme="majorHAnsi" w:hAnsiTheme="majorHAnsi" w:cstheme="majorHAnsi"/>
                <w:color w:val="000000"/>
                <w:sz w:val="18"/>
                <w:szCs w:val="18"/>
              </w:rPr>
              <w:t>63,3%</w:t>
            </w:r>
          </w:p>
        </w:tc>
      </w:tr>
    </w:tbl>
    <w:p w14:paraId="41EB9BE5" w14:textId="77777777" w:rsidR="00E440CE" w:rsidRPr="00ED7B99" w:rsidRDefault="003422A9">
      <w:pPr>
        <w:rPr>
          <w:rFonts w:asciiTheme="majorHAnsi" w:hAnsiTheme="majorHAnsi" w:cstheme="majorHAnsi"/>
          <w:i/>
          <w:sz w:val="18"/>
          <w:szCs w:val="18"/>
        </w:rPr>
      </w:pPr>
      <w:r w:rsidRPr="00ED7B99">
        <w:rPr>
          <w:rFonts w:asciiTheme="majorHAnsi" w:hAnsiTheme="majorHAnsi" w:cstheme="majorHAnsi"/>
          <w:i/>
          <w:sz w:val="18"/>
          <w:szCs w:val="18"/>
        </w:rPr>
        <w:t xml:space="preserve">Izvor podataka: Federalni zavod za programiranje podataka, Makroekonomski pokazatelji po kantonima </w:t>
      </w:r>
    </w:p>
    <w:p w14:paraId="06C869B3" w14:textId="16AE1055" w:rsidR="00E440CE" w:rsidRPr="00ED7B99" w:rsidRDefault="003422A9">
      <w:pPr>
        <w:rPr>
          <w:rFonts w:asciiTheme="majorHAnsi" w:hAnsiTheme="majorHAnsi" w:cstheme="majorHAnsi"/>
          <w:b/>
        </w:rPr>
      </w:pPr>
      <w:r w:rsidRPr="00ED7B99">
        <w:rPr>
          <w:rFonts w:asciiTheme="majorHAnsi" w:hAnsiTheme="majorHAnsi" w:cstheme="majorHAnsi"/>
          <w:b/>
        </w:rPr>
        <w:t xml:space="preserve">Tržište rada u Federaciji BiH </w:t>
      </w:r>
    </w:p>
    <w:p w14:paraId="518BB2C5"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Kao što je pomenuto u uvodnom dijelu ove analize, veliki izazov Federacije BiH jeste niska stopa zaposlenosti koja se kreće oko 30%. Naredni podaci Federalnog zavoda za programiranje se odnose na ukupan broj zaposlenih, uključujući javni i privatni sektor. Cilj ove analize jeste predočiti ukupan broj zaposlenih te njihovu zastupljenost po kantonima, a u nastavku analize će se detaljnije prikazati podaci o broju zaposlenih u maloj privredi. </w:t>
      </w:r>
    </w:p>
    <w:p w14:paraId="775618FD" w14:textId="307717FC" w:rsidR="00E440CE" w:rsidRPr="00ED7B99" w:rsidRDefault="003422A9">
      <w:pPr>
        <w:jc w:val="both"/>
        <w:rPr>
          <w:rFonts w:asciiTheme="majorHAnsi" w:hAnsiTheme="majorHAnsi" w:cstheme="majorHAnsi"/>
        </w:rPr>
      </w:pPr>
      <w:r w:rsidRPr="00ED7B99">
        <w:rPr>
          <w:rFonts w:asciiTheme="majorHAnsi" w:hAnsiTheme="majorHAnsi" w:cstheme="majorHAnsi"/>
        </w:rPr>
        <w:t xml:space="preserve">Tokom 2021. godine registrovano je 525.397 zaposlenih što je za 1% više u odnosu na pandemijsku godinu 2020. godinu. U periodu 2016-2019 zabilježen je kontinuiran porast </w:t>
      </w:r>
      <w:r w:rsidRPr="00ED7B99">
        <w:rPr>
          <w:rFonts w:asciiTheme="majorHAnsi" w:hAnsiTheme="majorHAnsi" w:cstheme="majorHAnsi"/>
        </w:rPr>
        <w:lastRenderedPageBreak/>
        <w:t>broja zaposlenih te je u 2019</w:t>
      </w:r>
      <w:r w:rsidR="00637429">
        <w:rPr>
          <w:rFonts w:asciiTheme="majorHAnsi" w:hAnsiTheme="majorHAnsi" w:cstheme="majorHAnsi"/>
        </w:rPr>
        <w:t>.</w:t>
      </w:r>
      <w:r w:rsidRPr="00ED7B99">
        <w:rPr>
          <w:rFonts w:asciiTheme="majorHAnsi" w:hAnsiTheme="majorHAnsi" w:cstheme="majorHAnsi"/>
        </w:rPr>
        <w:t xml:space="preserve"> godini bilo 13,84% više zaposlenih u odnosu na 2016</w:t>
      </w:r>
      <w:r w:rsidR="00637429">
        <w:rPr>
          <w:rFonts w:asciiTheme="majorHAnsi" w:hAnsiTheme="majorHAnsi" w:cstheme="majorHAnsi"/>
        </w:rPr>
        <w:t>.</w:t>
      </w:r>
      <w:r w:rsidRPr="00ED7B99">
        <w:rPr>
          <w:rFonts w:asciiTheme="majorHAnsi" w:hAnsiTheme="majorHAnsi" w:cstheme="majorHAnsi"/>
        </w:rPr>
        <w:t xml:space="preserve"> godinu. Pojavom COVID 19 pandemij</w:t>
      </w:r>
      <w:r w:rsidR="00637429">
        <w:rPr>
          <w:rFonts w:asciiTheme="majorHAnsi" w:hAnsiTheme="majorHAnsi" w:cstheme="majorHAnsi"/>
        </w:rPr>
        <w:t>e</w:t>
      </w:r>
      <w:r w:rsidRPr="00ED7B99">
        <w:rPr>
          <w:rFonts w:asciiTheme="majorHAnsi" w:hAnsiTheme="majorHAnsi" w:cstheme="majorHAnsi"/>
        </w:rPr>
        <w:t xml:space="preserve"> stanj</w:t>
      </w:r>
      <w:r w:rsidR="00637429">
        <w:rPr>
          <w:rFonts w:asciiTheme="majorHAnsi" w:hAnsiTheme="majorHAnsi" w:cstheme="majorHAnsi"/>
        </w:rPr>
        <w:t>e</w:t>
      </w:r>
      <w:r w:rsidRPr="00ED7B99">
        <w:rPr>
          <w:rFonts w:asciiTheme="majorHAnsi" w:hAnsiTheme="majorHAnsi" w:cstheme="majorHAnsi"/>
        </w:rPr>
        <w:t xml:space="preserve"> na tržištu rada se pogoršalo te je došlo do pada broja zaposlenih, ali kao što je spomenuto i do blagog oporavka 2021. godine. Srazmjerno broju stanovnika po kantonima, najveći broj zaposlenih je registrovan u Kantonu Sarajevo, Tuzlanskom kantonu te Zeničko dobojskom kantonu. Broj zaposlenih po kantonima za period 2016-2021 je prikazan u tabeli broj </w:t>
      </w:r>
      <w:r w:rsidR="004C0398" w:rsidRPr="00ED7B99">
        <w:rPr>
          <w:rFonts w:asciiTheme="majorHAnsi" w:hAnsiTheme="majorHAnsi" w:cstheme="majorHAnsi"/>
        </w:rPr>
        <w:t>8</w:t>
      </w:r>
      <w:r w:rsidRPr="00ED7B99">
        <w:rPr>
          <w:rFonts w:asciiTheme="majorHAnsi" w:hAnsiTheme="majorHAnsi" w:cstheme="majorHAnsi"/>
        </w:rPr>
        <w:t>.</w:t>
      </w:r>
    </w:p>
    <w:p w14:paraId="3D09918E" w14:textId="5F93F7D6" w:rsidR="00E440CE" w:rsidRPr="00ED7B99" w:rsidRDefault="00E440CE">
      <w:pPr>
        <w:pBdr>
          <w:top w:val="nil"/>
          <w:left w:val="nil"/>
          <w:bottom w:val="nil"/>
          <w:right w:val="nil"/>
          <w:between w:val="nil"/>
        </w:pBdr>
        <w:spacing w:after="0" w:line="240" w:lineRule="auto"/>
        <w:jc w:val="center"/>
        <w:rPr>
          <w:rFonts w:asciiTheme="majorHAnsi" w:hAnsiTheme="majorHAnsi" w:cstheme="majorHAnsi"/>
          <w:b/>
          <w:i/>
          <w:color w:val="1E5F9F"/>
          <w:sz w:val="18"/>
          <w:szCs w:val="18"/>
          <w:highlight w:val="yellow"/>
        </w:rPr>
      </w:pPr>
    </w:p>
    <w:p w14:paraId="73D0B91B" w14:textId="4D3A1F1E"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8</w:t>
      </w:r>
      <w:r w:rsidR="0054018A" w:rsidRPr="00ED7B99">
        <w:rPr>
          <w:rFonts w:asciiTheme="majorHAnsi" w:hAnsiTheme="majorHAnsi" w:cstheme="majorHAnsi"/>
        </w:rPr>
        <w:fldChar w:fldCharType="end"/>
      </w:r>
      <w:r w:rsidRPr="00ED7B99">
        <w:rPr>
          <w:rFonts w:asciiTheme="majorHAnsi" w:hAnsiTheme="majorHAnsi" w:cstheme="majorHAnsi"/>
        </w:rPr>
        <w:t>. Broj zaposlenih po kantonima Federacije BiH za period 2016-2021. godina</w:t>
      </w:r>
    </w:p>
    <w:tbl>
      <w:tblPr>
        <w:tblStyle w:val="a5"/>
        <w:tblW w:w="9246" w:type="dxa"/>
        <w:tblInd w:w="94" w:type="dxa"/>
        <w:tblLayout w:type="fixed"/>
        <w:tblLook w:val="0400" w:firstRow="0" w:lastRow="0" w:firstColumn="0" w:lastColumn="0" w:noHBand="0" w:noVBand="1"/>
      </w:tblPr>
      <w:tblGrid>
        <w:gridCol w:w="3013"/>
        <w:gridCol w:w="1070"/>
        <w:gridCol w:w="1059"/>
        <w:gridCol w:w="1067"/>
        <w:gridCol w:w="1061"/>
        <w:gridCol w:w="1059"/>
        <w:gridCol w:w="917"/>
      </w:tblGrid>
      <w:tr w:rsidR="00E440CE" w:rsidRPr="00ED7B99" w14:paraId="30F3948D" w14:textId="77777777" w:rsidTr="00683004">
        <w:trPr>
          <w:trHeight w:val="315"/>
        </w:trPr>
        <w:tc>
          <w:tcPr>
            <w:tcW w:w="9246" w:type="dxa"/>
            <w:gridSpan w:val="7"/>
            <w:tcBorders>
              <w:top w:val="single" w:sz="8" w:space="0" w:color="BCD6EE"/>
              <w:left w:val="single" w:sz="8" w:space="0" w:color="BCD6EE"/>
              <w:bottom w:val="single" w:sz="8" w:space="0" w:color="BCD6EE"/>
              <w:right w:val="single" w:sz="8" w:space="0" w:color="BCD6EE"/>
            </w:tcBorders>
            <w:shd w:val="clear" w:color="auto" w:fill="BCD9DE" w:themeFill="accent5" w:themeFillTint="66"/>
            <w:vAlign w:val="center"/>
          </w:tcPr>
          <w:p w14:paraId="3321C0F0"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Broj zaposlenih u F BiH po kantonima</w:t>
            </w:r>
          </w:p>
        </w:tc>
      </w:tr>
      <w:tr w:rsidR="00E440CE" w:rsidRPr="00ED7B99" w14:paraId="77141252" w14:textId="77777777" w:rsidTr="00683004">
        <w:trPr>
          <w:trHeight w:val="315"/>
        </w:trPr>
        <w:tc>
          <w:tcPr>
            <w:tcW w:w="3013"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0B96A524"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w:t>
            </w:r>
          </w:p>
        </w:tc>
        <w:tc>
          <w:tcPr>
            <w:tcW w:w="1070" w:type="dxa"/>
            <w:tcBorders>
              <w:top w:val="nil"/>
              <w:left w:val="nil"/>
              <w:bottom w:val="single" w:sz="8" w:space="0" w:color="BCD6EE"/>
              <w:right w:val="single" w:sz="8" w:space="0" w:color="BCD6EE"/>
            </w:tcBorders>
            <w:shd w:val="clear" w:color="auto" w:fill="BCD9DE" w:themeFill="accent5" w:themeFillTint="66"/>
            <w:vAlign w:val="center"/>
          </w:tcPr>
          <w:p w14:paraId="2D4A073C"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2016</w:t>
            </w:r>
          </w:p>
        </w:tc>
        <w:tc>
          <w:tcPr>
            <w:tcW w:w="1059" w:type="dxa"/>
            <w:tcBorders>
              <w:top w:val="nil"/>
              <w:left w:val="nil"/>
              <w:bottom w:val="single" w:sz="8" w:space="0" w:color="BCD6EE"/>
              <w:right w:val="single" w:sz="8" w:space="0" w:color="BCD6EE"/>
            </w:tcBorders>
            <w:shd w:val="clear" w:color="auto" w:fill="BCD9DE" w:themeFill="accent5" w:themeFillTint="66"/>
            <w:vAlign w:val="center"/>
          </w:tcPr>
          <w:p w14:paraId="0C044245"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2017</w:t>
            </w:r>
          </w:p>
        </w:tc>
        <w:tc>
          <w:tcPr>
            <w:tcW w:w="1067" w:type="dxa"/>
            <w:tcBorders>
              <w:top w:val="nil"/>
              <w:left w:val="nil"/>
              <w:bottom w:val="single" w:sz="8" w:space="0" w:color="BCD6EE"/>
              <w:right w:val="single" w:sz="8" w:space="0" w:color="BCD6EE"/>
            </w:tcBorders>
            <w:shd w:val="clear" w:color="auto" w:fill="BCD9DE" w:themeFill="accent5" w:themeFillTint="66"/>
            <w:vAlign w:val="center"/>
          </w:tcPr>
          <w:p w14:paraId="1A6F10C2"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2018</w:t>
            </w:r>
          </w:p>
        </w:tc>
        <w:tc>
          <w:tcPr>
            <w:tcW w:w="1061" w:type="dxa"/>
            <w:tcBorders>
              <w:top w:val="nil"/>
              <w:left w:val="nil"/>
              <w:bottom w:val="single" w:sz="8" w:space="0" w:color="BCD6EE"/>
              <w:right w:val="single" w:sz="8" w:space="0" w:color="BCD6EE"/>
            </w:tcBorders>
            <w:shd w:val="clear" w:color="auto" w:fill="BCD9DE" w:themeFill="accent5" w:themeFillTint="66"/>
            <w:vAlign w:val="center"/>
          </w:tcPr>
          <w:p w14:paraId="31E2A517"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2019</w:t>
            </w:r>
          </w:p>
        </w:tc>
        <w:tc>
          <w:tcPr>
            <w:tcW w:w="1059" w:type="dxa"/>
            <w:tcBorders>
              <w:top w:val="nil"/>
              <w:left w:val="nil"/>
              <w:bottom w:val="single" w:sz="8" w:space="0" w:color="BCD6EE"/>
              <w:right w:val="single" w:sz="8" w:space="0" w:color="BCD6EE"/>
            </w:tcBorders>
            <w:shd w:val="clear" w:color="auto" w:fill="BCD9DE" w:themeFill="accent5" w:themeFillTint="66"/>
            <w:vAlign w:val="center"/>
          </w:tcPr>
          <w:p w14:paraId="5EE42930"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2020</w:t>
            </w:r>
          </w:p>
        </w:tc>
        <w:tc>
          <w:tcPr>
            <w:tcW w:w="917" w:type="dxa"/>
            <w:tcBorders>
              <w:top w:val="nil"/>
              <w:left w:val="nil"/>
              <w:bottom w:val="single" w:sz="8" w:space="0" w:color="BCD6EE"/>
              <w:right w:val="single" w:sz="8" w:space="0" w:color="BCD6EE"/>
            </w:tcBorders>
            <w:shd w:val="clear" w:color="auto" w:fill="BCD9DE" w:themeFill="accent5" w:themeFillTint="66"/>
          </w:tcPr>
          <w:p w14:paraId="720CFB5D"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2021</w:t>
            </w:r>
          </w:p>
        </w:tc>
      </w:tr>
      <w:tr w:rsidR="00E440CE" w:rsidRPr="00ED7B99" w14:paraId="4140DE63"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580FD796"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Unsko - sanski</w:t>
            </w:r>
          </w:p>
        </w:tc>
        <w:tc>
          <w:tcPr>
            <w:tcW w:w="1070" w:type="dxa"/>
            <w:tcBorders>
              <w:top w:val="nil"/>
              <w:left w:val="nil"/>
              <w:bottom w:val="single" w:sz="8" w:space="0" w:color="BCD6EE"/>
              <w:right w:val="single" w:sz="8" w:space="0" w:color="BCD6EE"/>
            </w:tcBorders>
            <w:shd w:val="clear" w:color="auto" w:fill="auto"/>
            <w:vAlign w:val="center"/>
          </w:tcPr>
          <w:p w14:paraId="72CE82CF"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32.778    </w:t>
            </w:r>
          </w:p>
        </w:tc>
        <w:tc>
          <w:tcPr>
            <w:tcW w:w="1059" w:type="dxa"/>
            <w:tcBorders>
              <w:top w:val="nil"/>
              <w:left w:val="nil"/>
              <w:bottom w:val="single" w:sz="8" w:space="0" w:color="BCD6EE"/>
              <w:right w:val="single" w:sz="8" w:space="0" w:color="BCD6EE"/>
            </w:tcBorders>
            <w:shd w:val="clear" w:color="auto" w:fill="auto"/>
            <w:vAlign w:val="center"/>
          </w:tcPr>
          <w:p w14:paraId="777D3FEC"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37.364    </w:t>
            </w:r>
          </w:p>
        </w:tc>
        <w:tc>
          <w:tcPr>
            <w:tcW w:w="1067" w:type="dxa"/>
            <w:tcBorders>
              <w:top w:val="nil"/>
              <w:left w:val="nil"/>
              <w:bottom w:val="single" w:sz="8" w:space="0" w:color="BCD6EE"/>
              <w:right w:val="single" w:sz="8" w:space="0" w:color="BCD6EE"/>
            </w:tcBorders>
            <w:shd w:val="clear" w:color="auto" w:fill="auto"/>
            <w:vAlign w:val="center"/>
          </w:tcPr>
          <w:p w14:paraId="1B0A4356"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37.687    </w:t>
            </w:r>
          </w:p>
        </w:tc>
        <w:tc>
          <w:tcPr>
            <w:tcW w:w="1061" w:type="dxa"/>
            <w:tcBorders>
              <w:top w:val="nil"/>
              <w:left w:val="nil"/>
              <w:bottom w:val="single" w:sz="8" w:space="0" w:color="BCD6EE"/>
              <w:right w:val="single" w:sz="8" w:space="0" w:color="BCD6EE"/>
            </w:tcBorders>
            <w:shd w:val="clear" w:color="auto" w:fill="auto"/>
            <w:vAlign w:val="center"/>
          </w:tcPr>
          <w:p w14:paraId="73C604C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38.220    </w:t>
            </w:r>
          </w:p>
        </w:tc>
        <w:tc>
          <w:tcPr>
            <w:tcW w:w="1059" w:type="dxa"/>
            <w:tcBorders>
              <w:top w:val="nil"/>
              <w:left w:val="nil"/>
              <w:bottom w:val="single" w:sz="8" w:space="0" w:color="BCD6EE"/>
              <w:right w:val="single" w:sz="8" w:space="0" w:color="BCD6EE"/>
            </w:tcBorders>
            <w:shd w:val="clear" w:color="auto" w:fill="auto"/>
            <w:vAlign w:val="center"/>
          </w:tcPr>
          <w:p w14:paraId="0EB2D5B0"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37.085    </w:t>
            </w:r>
          </w:p>
        </w:tc>
        <w:tc>
          <w:tcPr>
            <w:tcW w:w="917" w:type="dxa"/>
            <w:tcBorders>
              <w:top w:val="nil"/>
              <w:left w:val="nil"/>
              <w:bottom w:val="single" w:sz="8" w:space="0" w:color="BCD6EE"/>
              <w:right w:val="single" w:sz="8" w:space="0" w:color="BCD6EE"/>
            </w:tcBorders>
          </w:tcPr>
          <w:p w14:paraId="7DBC70D0"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37.712</w:t>
            </w:r>
          </w:p>
        </w:tc>
      </w:tr>
      <w:tr w:rsidR="00E440CE" w:rsidRPr="00ED7B99" w14:paraId="5005A546"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70A05B7F"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Posavski</w:t>
            </w:r>
          </w:p>
        </w:tc>
        <w:tc>
          <w:tcPr>
            <w:tcW w:w="1070" w:type="dxa"/>
            <w:tcBorders>
              <w:top w:val="nil"/>
              <w:left w:val="nil"/>
              <w:bottom w:val="single" w:sz="8" w:space="0" w:color="BCD6EE"/>
              <w:right w:val="single" w:sz="8" w:space="0" w:color="BCD6EE"/>
            </w:tcBorders>
            <w:shd w:val="clear" w:color="auto" w:fill="auto"/>
            <w:vAlign w:val="center"/>
          </w:tcPr>
          <w:p w14:paraId="52E307AE"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5.809    </w:t>
            </w:r>
          </w:p>
        </w:tc>
        <w:tc>
          <w:tcPr>
            <w:tcW w:w="1059" w:type="dxa"/>
            <w:tcBorders>
              <w:top w:val="nil"/>
              <w:left w:val="nil"/>
              <w:bottom w:val="single" w:sz="8" w:space="0" w:color="BCD6EE"/>
              <w:right w:val="single" w:sz="8" w:space="0" w:color="BCD6EE"/>
            </w:tcBorders>
            <w:shd w:val="clear" w:color="auto" w:fill="auto"/>
            <w:vAlign w:val="center"/>
          </w:tcPr>
          <w:p w14:paraId="6AAA717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6.415    </w:t>
            </w:r>
          </w:p>
        </w:tc>
        <w:tc>
          <w:tcPr>
            <w:tcW w:w="1067" w:type="dxa"/>
            <w:tcBorders>
              <w:top w:val="nil"/>
              <w:left w:val="nil"/>
              <w:bottom w:val="single" w:sz="8" w:space="0" w:color="BCD6EE"/>
              <w:right w:val="single" w:sz="8" w:space="0" w:color="BCD6EE"/>
            </w:tcBorders>
            <w:shd w:val="clear" w:color="auto" w:fill="auto"/>
            <w:vAlign w:val="center"/>
          </w:tcPr>
          <w:p w14:paraId="27CF67C7"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6.497    </w:t>
            </w:r>
          </w:p>
        </w:tc>
        <w:tc>
          <w:tcPr>
            <w:tcW w:w="1061" w:type="dxa"/>
            <w:tcBorders>
              <w:top w:val="nil"/>
              <w:left w:val="nil"/>
              <w:bottom w:val="single" w:sz="8" w:space="0" w:color="BCD6EE"/>
              <w:right w:val="single" w:sz="8" w:space="0" w:color="BCD6EE"/>
            </w:tcBorders>
            <w:shd w:val="clear" w:color="auto" w:fill="auto"/>
            <w:vAlign w:val="center"/>
          </w:tcPr>
          <w:p w14:paraId="5ACD01B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6.549    </w:t>
            </w:r>
          </w:p>
        </w:tc>
        <w:tc>
          <w:tcPr>
            <w:tcW w:w="1059" w:type="dxa"/>
            <w:tcBorders>
              <w:top w:val="nil"/>
              <w:left w:val="nil"/>
              <w:bottom w:val="single" w:sz="8" w:space="0" w:color="BCD6EE"/>
              <w:right w:val="single" w:sz="8" w:space="0" w:color="BCD6EE"/>
            </w:tcBorders>
            <w:shd w:val="clear" w:color="auto" w:fill="auto"/>
            <w:vAlign w:val="center"/>
          </w:tcPr>
          <w:p w14:paraId="05C72A0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6.353    </w:t>
            </w:r>
          </w:p>
        </w:tc>
        <w:tc>
          <w:tcPr>
            <w:tcW w:w="917" w:type="dxa"/>
            <w:tcBorders>
              <w:top w:val="nil"/>
              <w:left w:val="nil"/>
              <w:bottom w:val="single" w:sz="8" w:space="0" w:color="BCD6EE"/>
              <w:right w:val="single" w:sz="8" w:space="0" w:color="BCD6EE"/>
            </w:tcBorders>
          </w:tcPr>
          <w:p w14:paraId="44A383D7"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6.296</w:t>
            </w:r>
          </w:p>
        </w:tc>
      </w:tr>
      <w:tr w:rsidR="00E440CE" w:rsidRPr="00ED7B99" w14:paraId="5D0466C6"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03A243ED"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Tuzlanski</w:t>
            </w:r>
          </w:p>
        </w:tc>
        <w:tc>
          <w:tcPr>
            <w:tcW w:w="1070" w:type="dxa"/>
            <w:tcBorders>
              <w:top w:val="nil"/>
              <w:left w:val="nil"/>
              <w:bottom w:val="single" w:sz="8" w:space="0" w:color="BCD6EE"/>
              <w:right w:val="single" w:sz="8" w:space="0" w:color="BCD6EE"/>
            </w:tcBorders>
            <w:shd w:val="clear" w:color="auto" w:fill="auto"/>
            <w:vAlign w:val="center"/>
          </w:tcPr>
          <w:p w14:paraId="0314983E"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84.736    </w:t>
            </w:r>
          </w:p>
        </w:tc>
        <w:tc>
          <w:tcPr>
            <w:tcW w:w="1059" w:type="dxa"/>
            <w:tcBorders>
              <w:top w:val="nil"/>
              <w:left w:val="nil"/>
              <w:bottom w:val="single" w:sz="8" w:space="0" w:color="BCD6EE"/>
              <w:right w:val="single" w:sz="8" w:space="0" w:color="BCD6EE"/>
            </w:tcBorders>
            <w:shd w:val="clear" w:color="auto" w:fill="auto"/>
            <w:vAlign w:val="center"/>
          </w:tcPr>
          <w:p w14:paraId="48213E6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93.445    </w:t>
            </w:r>
          </w:p>
        </w:tc>
        <w:tc>
          <w:tcPr>
            <w:tcW w:w="1067" w:type="dxa"/>
            <w:tcBorders>
              <w:top w:val="nil"/>
              <w:left w:val="nil"/>
              <w:bottom w:val="single" w:sz="8" w:space="0" w:color="BCD6EE"/>
              <w:right w:val="single" w:sz="8" w:space="0" w:color="BCD6EE"/>
            </w:tcBorders>
            <w:shd w:val="clear" w:color="auto" w:fill="auto"/>
            <w:vAlign w:val="center"/>
          </w:tcPr>
          <w:p w14:paraId="3E636131"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96.461    </w:t>
            </w:r>
          </w:p>
        </w:tc>
        <w:tc>
          <w:tcPr>
            <w:tcW w:w="1061" w:type="dxa"/>
            <w:tcBorders>
              <w:top w:val="nil"/>
              <w:left w:val="nil"/>
              <w:bottom w:val="single" w:sz="8" w:space="0" w:color="BCD6EE"/>
              <w:right w:val="single" w:sz="8" w:space="0" w:color="BCD6EE"/>
            </w:tcBorders>
            <w:shd w:val="clear" w:color="auto" w:fill="auto"/>
            <w:vAlign w:val="center"/>
          </w:tcPr>
          <w:p w14:paraId="05945DA3"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99.067    </w:t>
            </w:r>
          </w:p>
        </w:tc>
        <w:tc>
          <w:tcPr>
            <w:tcW w:w="1059" w:type="dxa"/>
            <w:tcBorders>
              <w:top w:val="nil"/>
              <w:left w:val="nil"/>
              <w:bottom w:val="single" w:sz="8" w:space="0" w:color="BCD6EE"/>
              <w:right w:val="single" w:sz="8" w:space="0" w:color="BCD6EE"/>
            </w:tcBorders>
            <w:shd w:val="clear" w:color="auto" w:fill="auto"/>
            <w:vAlign w:val="center"/>
          </w:tcPr>
          <w:p w14:paraId="27D8D89C"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97.863    </w:t>
            </w:r>
          </w:p>
        </w:tc>
        <w:tc>
          <w:tcPr>
            <w:tcW w:w="917" w:type="dxa"/>
            <w:tcBorders>
              <w:top w:val="nil"/>
              <w:left w:val="nil"/>
              <w:bottom w:val="single" w:sz="8" w:space="0" w:color="BCD6EE"/>
              <w:right w:val="single" w:sz="8" w:space="0" w:color="BCD6EE"/>
            </w:tcBorders>
          </w:tcPr>
          <w:p w14:paraId="44FA9A7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99.589</w:t>
            </w:r>
          </w:p>
        </w:tc>
      </w:tr>
      <w:tr w:rsidR="00E440CE" w:rsidRPr="00ED7B99" w14:paraId="78CAE22E"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0CE7A5D4"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Zeničko-dobojski</w:t>
            </w:r>
          </w:p>
        </w:tc>
        <w:tc>
          <w:tcPr>
            <w:tcW w:w="1070" w:type="dxa"/>
            <w:tcBorders>
              <w:top w:val="nil"/>
              <w:left w:val="nil"/>
              <w:bottom w:val="single" w:sz="8" w:space="0" w:color="BCD6EE"/>
              <w:right w:val="single" w:sz="8" w:space="0" w:color="BCD6EE"/>
            </w:tcBorders>
            <w:shd w:val="clear" w:color="auto" w:fill="auto"/>
            <w:vAlign w:val="center"/>
          </w:tcPr>
          <w:p w14:paraId="2DD17F12"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72.106    </w:t>
            </w:r>
          </w:p>
        </w:tc>
        <w:tc>
          <w:tcPr>
            <w:tcW w:w="1059" w:type="dxa"/>
            <w:tcBorders>
              <w:top w:val="nil"/>
              <w:left w:val="nil"/>
              <w:bottom w:val="single" w:sz="8" w:space="0" w:color="BCD6EE"/>
              <w:right w:val="single" w:sz="8" w:space="0" w:color="BCD6EE"/>
            </w:tcBorders>
            <w:shd w:val="clear" w:color="auto" w:fill="auto"/>
            <w:vAlign w:val="center"/>
          </w:tcPr>
          <w:p w14:paraId="5904B333"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79.408    </w:t>
            </w:r>
          </w:p>
        </w:tc>
        <w:tc>
          <w:tcPr>
            <w:tcW w:w="1067" w:type="dxa"/>
            <w:tcBorders>
              <w:top w:val="nil"/>
              <w:left w:val="nil"/>
              <w:bottom w:val="single" w:sz="8" w:space="0" w:color="BCD6EE"/>
              <w:right w:val="single" w:sz="8" w:space="0" w:color="BCD6EE"/>
            </w:tcBorders>
            <w:shd w:val="clear" w:color="auto" w:fill="auto"/>
            <w:vAlign w:val="center"/>
          </w:tcPr>
          <w:p w14:paraId="245B8751"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82.688    </w:t>
            </w:r>
          </w:p>
        </w:tc>
        <w:tc>
          <w:tcPr>
            <w:tcW w:w="1061" w:type="dxa"/>
            <w:tcBorders>
              <w:top w:val="nil"/>
              <w:left w:val="nil"/>
              <w:bottom w:val="single" w:sz="8" w:space="0" w:color="BCD6EE"/>
              <w:right w:val="single" w:sz="8" w:space="0" w:color="BCD6EE"/>
            </w:tcBorders>
            <w:shd w:val="clear" w:color="auto" w:fill="auto"/>
            <w:vAlign w:val="center"/>
          </w:tcPr>
          <w:p w14:paraId="6662F57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84.169    </w:t>
            </w:r>
          </w:p>
        </w:tc>
        <w:tc>
          <w:tcPr>
            <w:tcW w:w="1059" w:type="dxa"/>
            <w:tcBorders>
              <w:top w:val="nil"/>
              <w:left w:val="nil"/>
              <w:bottom w:val="single" w:sz="8" w:space="0" w:color="BCD6EE"/>
              <w:right w:val="single" w:sz="8" w:space="0" w:color="BCD6EE"/>
            </w:tcBorders>
            <w:shd w:val="clear" w:color="auto" w:fill="auto"/>
            <w:vAlign w:val="center"/>
          </w:tcPr>
          <w:p w14:paraId="7D6F6AD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82.073    </w:t>
            </w:r>
          </w:p>
        </w:tc>
        <w:tc>
          <w:tcPr>
            <w:tcW w:w="917" w:type="dxa"/>
            <w:tcBorders>
              <w:top w:val="nil"/>
              <w:left w:val="nil"/>
              <w:bottom w:val="single" w:sz="8" w:space="0" w:color="BCD6EE"/>
              <w:right w:val="single" w:sz="8" w:space="0" w:color="BCD6EE"/>
            </w:tcBorders>
          </w:tcPr>
          <w:p w14:paraId="36626BB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82.798</w:t>
            </w:r>
          </w:p>
        </w:tc>
      </w:tr>
      <w:tr w:rsidR="00E440CE" w:rsidRPr="00ED7B99" w14:paraId="691DF2A6"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1A540057"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Bosansko-podrinjski</w:t>
            </w:r>
          </w:p>
        </w:tc>
        <w:tc>
          <w:tcPr>
            <w:tcW w:w="1070" w:type="dxa"/>
            <w:tcBorders>
              <w:top w:val="nil"/>
              <w:left w:val="nil"/>
              <w:bottom w:val="single" w:sz="8" w:space="0" w:color="BCD6EE"/>
              <w:right w:val="single" w:sz="8" w:space="0" w:color="BCD6EE"/>
            </w:tcBorders>
            <w:shd w:val="clear" w:color="auto" w:fill="auto"/>
            <w:vAlign w:val="center"/>
          </w:tcPr>
          <w:p w14:paraId="239DC660"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6.717    </w:t>
            </w:r>
          </w:p>
        </w:tc>
        <w:tc>
          <w:tcPr>
            <w:tcW w:w="1059" w:type="dxa"/>
            <w:tcBorders>
              <w:top w:val="nil"/>
              <w:left w:val="nil"/>
              <w:bottom w:val="single" w:sz="8" w:space="0" w:color="BCD6EE"/>
              <w:right w:val="single" w:sz="8" w:space="0" w:color="BCD6EE"/>
            </w:tcBorders>
            <w:shd w:val="clear" w:color="auto" w:fill="auto"/>
            <w:vAlign w:val="center"/>
          </w:tcPr>
          <w:p w14:paraId="76D01043"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7.110    </w:t>
            </w:r>
          </w:p>
        </w:tc>
        <w:tc>
          <w:tcPr>
            <w:tcW w:w="1067" w:type="dxa"/>
            <w:tcBorders>
              <w:top w:val="nil"/>
              <w:left w:val="nil"/>
              <w:bottom w:val="single" w:sz="8" w:space="0" w:color="BCD6EE"/>
              <w:right w:val="single" w:sz="8" w:space="0" w:color="BCD6EE"/>
            </w:tcBorders>
            <w:shd w:val="clear" w:color="auto" w:fill="auto"/>
            <w:vAlign w:val="center"/>
          </w:tcPr>
          <w:p w14:paraId="270CCDCE"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7.291    </w:t>
            </w:r>
          </w:p>
        </w:tc>
        <w:tc>
          <w:tcPr>
            <w:tcW w:w="1061" w:type="dxa"/>
            <w:tcBorders>
              <w:top w:val="nil"/>
              <w:left w:val="nil"/>
              <w:bottom w:val="single" w:sz="8" w:space="0" w:color="BCD6EE"/>
              <w:right w:val="single" w:sz="8" w:space="0" w:color="BCD6EE"/>
            </w:tcBorders>
            <w:shd w:val="clear" w:color="auto" w:fill="auto"/>
            <w:vAlign w:val="center"/>
          </w:tcPr>
          <w:p w14:paraId="31402E3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7.083    </w:t>
            </w:r>
          </w:p>
        </w:tc>
        <w:tc>
          <w:tcPr>
            <w:tcW w:w="1059" w:type="dxa"/>
            <w:tcBorders>
              <w:top w:val="nil"/>
              <w:left w:val="nil"/>
              <w:bottom w:val="single" w:sz="8" w:space="0" w:color="BCD6EE"/>
              <w:right w:val="single" w:sz="8" w:space="0" w:color="BCD6EE"/>
            </w:tcBorders>
            <w:shd w:val="clear" w:color="auto" w:fill="auto"/>
            <w:vAlign w:val="center"/>
          </w:tcPr>
          <w:p w14:paraId="063A517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6.882    </w:t>
            </w:r>
          </w:p>
        </w:tc>
        <w:tc>
          <w:tcPr>
            <w:tcW w:w="917" w:type="dxa"/>
            <w:tcBorders>
              <w:top w:val="nil"/>
              <w:left w:val="nil"/>
              <w:bottom w:val="single" w:sz="8" w:space="0" w:color="BCD6EE"/>
              <w:right w:val="single" w:sz="8" w:space="0" w:color="BCD6EE"/>
            </w:tcBorders>
          </w:tcPr>
          <w:p w14:paraId="06543FBD"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6.913</w:t>
            </w:r>
          </w:p>
        </w:tc>
      </w:tr>
      <w:tr w:rsidR="00E440CE" w:rsidRPr="00ED7B99" w14:paraId="26D0EBC3"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3CF2C4F6"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Srednjobosanski</w:t>
            </w:r>
          </w:p>
        </w:tc>
        <w:tc>
          <w:tcPr>
            <w:tcW w:w="1070" w:type="dxa"/>
            <w:tcBorders>
              <w:top w:val="nil"/>
              <w:left w:val="nil"/>
              <w:bottom w:val="single" w:sz="8" w:space="0" w:color="BCD6EE"/>
              <w:right w:val="single" w:sz="8" w:space="0" w:color="BCD6EE"/>
            </w:tcBorders>
            <w:shd w:val="clear" w:color="auto" w:fill="auto"/>
            <w:vAlign w:val="center"/>
          </w:tcPr>
          <w:p w14:paraId="487AF878"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43.474    </w:t>
            </w:r>
          </w:p>
        </w:tc>
        <w:tc>
          <w:tcPr>
            <w:tcW w:w="1059" w:type="dxa"/>
            <w:tcBorders>
              <w:top w:val="nil"/>
              <w:left w:val="nil"/>
              <w:bottom w:val="single" w:sz="8" w:space="0" w:color="BCD6EE"/>
              <w:right w:val="single" w:sz="8" w:space="0" w:color="BCD6EE"/>
            </w:tcBorders>
            <w:shd w:val="clear" w:color="auto" w:fill="auto"/>
            <w:vAlign w:val="center"/>
          </w:tcPr>
          <w:p w14:paraId="309AEB0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49.650    </w:t>
            </w:r>
          </w:p>
        </w:tc>
        <w:tc>
          <w:tcPr>
            <w:tcW w:w="1067" w:type="dxa"/>
            <w:tcBorders>
              <w:top w:val="nil"/>
              <w:left w:val="nil"/>
              <w:bottom w:val="single" w:sz="8" w:space="0" w:color="BCD6EE"/>
              <w:right w:val="single" w:sz="8" w:space="0" w:color="BCD6EE"/>
            </w:tcBorders>
            <w:shd w:val="clear" w:color="auto" w:fill="auto"/>
            <w:vAlign w:val="center"/>
          </w:tcPr>
          <w:p w14:paraId="42379122"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50.957    </w:t>
            </w:r>
          </w:p>
        </w:tc>
        <w:tc>
          <w:tcPr>
            <w:tcW w:w="1061" w:type="dxa"/>
            <w:tcBorders>
              <w:top w:val="nil"/>
              <w:left w:val="nil"/>
              <w:bottom w:val="single" w:sz="8" w:space="0" w:color="BCD6EE"/>
              <w:right w:val="single" w:sz="8" w:space="0" w:color="BCD6EE"/>
            </w:tcBorders>
            <w:shd w:val="clear" w:color="auto" w:fill="auto"/>
            <w:vAlign w:val="center"/>
          </w:tcPr>
          <w:p w14:paraId="68C7AF86"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51.583    </w:t>
            </w:r>
          </w:p>
        </w:tc>
        <w:tc>
          <w:tcPr>
            <w:tcW w:w="1059" w:type="dxa"/>
            <w:tcBorders>
              <w:top w:val="nil"/>
              <w:left w:val="nil"/>
              <w:bottom w:val="single" w:sz="8" w:space="0" w:color="BCD6EE"/>
              <w:right w:val="single" w:sz="8" w:space="0" w:color="BCD6EE"/>
            </w:tcBorders>
            <w:shd w:val="clear" w:color="auto" w:fill="auto"/>
            <w:vAlign w:val="center"/>
          </w:tcPr>
          <w:p w14:paraId="4FA59047"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50.024    </w:t>
            </w:r>
          </w:p>
        </w:tc>
        <w:tc>
          <w:tcPr>
            <w:tcW w:w="917" w:type="dxa"/>
            <w:tcBorders>
              <w:top w:val="nil"/>
              <w:left w:val="nil"/>
              <w:bottom w:val="single" w:sz="8" w:space="0" w:color="BCD6EE"/>
              <w:right w:val="single" w:sz="8" w:space="0" w:color="BCD6EE"/>
            </w:tcBorders>
          </w:tcPr>
          <w:p w14:paraId="1D9CE383"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49.930</w:t>
            </w:r>
          </w:p>
        </w:tc>
      </w:tr>
      <w:tr w:rsidR="00E440CE" w:rsidRPr="00ED7B99" w14:paraId="45F22799"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37F16325"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Hercegovačko- neretvanski</w:t>
            </w:r>
          </w:p>
        </w:tc>
        <w:tc>
          <w:tcPr>
            <w:tcW w:w="1070" w:type="dxa"/>
            <w:tcBorders>
              <w:top w:val="nil"/>
              <w:left w:val="nil"/>
              <w:bottom w:val="single" w:sz="8" w:space="0" w:color="BCD6EE"/>
              <w:right w:val="single" w:sz="8" w:space="0" w:color="BCD6EE"/>
            </w:tcBorders>
            <w:shd w:val="clear" w:color="auto" w:fill="auto"/>
            <w:vAlign w:val="center"/>
          </w:tcPr>
          <w:p w14:paraId="42754AF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48.068    </w:t>
            </w:r>
          </w:p>
        </w:tc>
        <w:tc>
          <w:tcPr>
            <w:tcW w:w="1059" w:type="dxa"/>
            <w:tcBorders>
              <w:top w:val="nil"/>
              <w:left w:val="nil"/>
              <w:bottom w:val="single" w:sz="8" w:space="0" w:color="BCD6EE"/>
              <w:right w:val="single" w:sz="8" w:space="0" w:color="BCD6EE"/>
            </w:tcBorders>
            <w:shd w:val="clear" w:color="auto" w:fill="auto"/>
            <w:vAlign w:val="center"/>
          </w:tcPr>
          <w:p w14:paraId="28CA05B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52.638    </w:t>
            </w:r>
          </w:p>
        </w:tc>
        <w:tc>
          <w:tcPr>
            <w:tcW w:w="1067" w:type="dxa"/>
            <w:tcBorders>
              <w:top w:val="nil"/>
              <w:left w:val="nil"/>
              <w:bottom w:val="single" w:sz="8" w:space="0" w:color="BCD6EE"/>
              <w:right w:val="single" w:sz="8" w:space="0" w:color="BCD6EE"/>
            </w:tcBorders>
            <w:shd w:val="clear" w:color="auto" w:fill="auto"/>
            <w:vAlign w:val="center"/>
          </w:tcPr>
          <w:p w14:paraId="69499CA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54.133    </w:t>
            </w:r>
          </w:p>
        </w:tc>
        <w:tc>
          <w:tcPr>
            <w:tcW w:w="1061" w:type="dxa"/>
            <w:tcBorders>
              <w:top w:val="nil"/>
              <w:left w:val="nil"/>
              <w:bottom w:val="single" w:sz="8" w:space="0" w:color="BCD6EE"/>
              <w:right w:val="single" w:sz="8" w:space="0" w:color="BCD6EE"/>
            </w:tcBorders>
            <w:shd w:val="clear" w:color="auto" w:fill="auto"/>
            <w:vAlign w:val="center"/>
          </w:tcPr>
          <w:p w14:paraId="480BEA2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55.213    </w:t>
            </w:r>
          </w:p>
        </w:tc>
        <w:tc>
          <w:tcPr>
            <w:tcW w:w="1059" w:type="dxa"/>
            <w:tcBorders>
              <w:top w:val="nil"/>
              <w:left w:val="nil"/>
              <w:bottom w:val="single" w:sz="8" w:space="0" w:color="BCD6EE"/>
              <w:right w:val="single" w:sz="8" w:space="0" w:color="BCD6EE"/>
            </w:tcBorders>
            <w:shd w:val="clear" w:color="auto" w:fill="auto"/>
            <w:vAlign w:val="center"/>
          </w:tcPr>
          <w:p w14:paraId="0C23473F"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52.336    </w:t>
            </w:r>
          </w:p>
        </w:tc>
        <w:tc>
          <w:tcPr>
            <w:tcW w:w="917" w:type="dxa"/>
            <w:tcBorders>
              <w:top w:val="nil"/>
              <w:left w:val="nil"/>
              <w:bottom w:val="single" w:sz="8" w:space="0" w:color="BCD6EE"/>
              <w:right w:val="single" w:sz="8" w:space="0" w:color="BCD6EE"/>
            </w:tcBorders>
          </w:tcPr>
          <w:p w14:paraId="4070E446"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52.673</w:t>
            </w:r>
          </w:p>
        </w:tc>
      </w:tr>
      <w:tr w:rsidR="00E440CE" w:rsidRPr="00ED7B99" w14:paraId="7C0F36B9"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75E5EE1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Zapadnohercegovački</w:t>
            </w:r>
          </w:p>
        </w:tc>
        <w:tc>
          <w:tcPr>
            <w:tcW w:w="1070" w:type="dxa"/>
            <w:tcBorders>
              <w:top w:val="nil"/>
              <w:left w:val="nil"/>
              <w:bottom w:val="single" w:sz="8" w:space="0" w:color="BCD6EE"/>
              <w:right w:val="single" w:sz="8" w:space="0" w:color="BCD6EE"/>
            </w:tcBorders>
            <w:shd w:val="clear" w:color="auto" w:fill="auto"/>
            <w:vAlign w:val="center"/>
          </w:tcPr>
          <w:p w14:paraId="10EB326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17.794    </w:t>
            </w:r>
          </w:p>
        </w:tc>
        <w:tc>
          <w:tcPr>
            <w:tcW w:w="1059" w:type="dxa"/>
            <w:tcBorders>
              <w:top w:val="nil"/>
              <w:left w:val="nil"/>
              <w:bottom w:val="single" w:sz="8" w:space="0" w:color="BCD6EE"/>
              <w:right w:val="single" w:sz="8" w:space="0" w:color="BCD6EE"/>
            </w:tcBorders>
            <w:shd w:val="clear" w:color="auto" w:fill="auto"/>
            <w:vAlign w:val="center"/>
          </w:tcPr>
          <w:p w14:paraId="29F9A20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18.440    </w:t>
            </w:r>
          </w:p>
        </w:tc>
        <w:tc>
          <w:tcPr>
            <w:tcW w:w="1067" w:type="dxa"/>
            <w:tcBorders>
              <w:top w:val="nil"/>
              <w:left w:val="nil"/>
              <w:bottom w:val="single" w:sz="8" w:space="0" w:color="BCD6EE"/>
              <w:right w:val="single" w:sz="8" w:space="0" w:color="BCD6EE"/>
            </w:tcBorders>
            <w:shd w:val="clear" w:color="auto" w:fill="auto"/>
            <w:vAlign w:val="center"/>
          </w:tcPr>
          <w:p w14:paraId="68C92BF2"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19.322    </w:t>
            </w:r>
          </w:p>
        </w:tc>
        <w:tc>
          <w:tcPr>
            <w:tcW w:w="1061" w:type="dxa"/>
            <w:tcBorders>
              <w:top w:val="nil"/>
              <w:left w:val="nil"/>
              <w:bottom w:val="single" w:sz="8" w:space="0" w:color="BCD6EE"/>
              <w:right w:val="single" w:sz="8" w:space="0" w:color="BCD6EE"/>
            </w:tcBorders>
            <w:shd w:val="clear" w:color="auto" w:fill="auto"/>
            <w:vAlign w:val="center"/>
          </w:tcPr>
          <w:p w14:paraId="08A7E17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20.020    </w:t>
            </w:r>
          </w:p>
        </w:tc>
        <w:tc>
          <w:tcPr>
            <w:tcW w:w="1059" w:type="dxa"/>
            <w:tcBorders>
              <w:top w:val="nil"/>
              <w:left w:val="nil"/>
              <w:bottom w:val="single" w:sz="8" w:space="0" w:color="BCD6EE"/>
              <w:right w:val="single" w:sz="8" w:space="0" w:color="BCD6EE"/>
            </w:tcBorders>
            <w:shd w:val="clear" w:color="auto" w:fill="auto"/>
            <w:vAlign w:val="center"/>
          </w:tcPr>
          <w:p w14:paraId="2B818A6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20.041    </w:t>
            </w:r>
          </w:p>
        </w:tc>
        <w:tc>
          <w:tcPr>
            <w:tcW w:w="917" w:type="dxa"/>
            <w:tcBorders>
              <w:top w:val="nil"/>
              <w:left w:val="nil"/>
              <w:bottom w:val="single" w:sz="8" w:space="0" w:color="BCD6EE"/>
              <w:right w:val="single" w:sz="8" w:space="0" w:color="BCD6EE"/>
            </w:tcBorders>
          </w:tcPr>
          <w:p w14:paraId="23A7EBD6"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20.401</w:t>
            </w:r>
          </w:p>
        </w:tc>
      </w:tr>
      <w:tr w:rsidR="00E440CE" w:rsidRPr="00ED7B99" w14:paraId="65583E01"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6EB34A1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Sarajevo</w:t>
            </w:r>
          </w:p>
        </w:tc>
        <w:tc>
          <w:tcPr>
            <w:tcW w:w="1070" w:type="dxa"/>
            <w:tcBorders>
              <w:top w:val="nil"/>
              <w:left w:val="nil"/>
              <w:bottom w:val="single" w:sz="8" w:space="0" w:color="BCD6EE"/>
              <w:right w:val="single" w:sz="8" w:space="0" w:color="BCD6EE"/>
            </w:tcBorders>
            <w:shd w:val="clear" w:color="auto" w:fill="auto"/>
            <w:vAlign w:val="center"/>
          </w:tcPr>
          <w:p w14:paraId="6F2D7FE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129.031    </w:t>
            </w:r>
          </w:p>
        </w:tc>
        <w:tc>
          <w:tcPr>
            <w:tcW w:w="1059" w:type="dxa"/>
            <w:tcBorders>
              <w:top w:val="nil"/>
              <w:left w:val="nil"/>
              <w:bottom w:val="single" w:sz="8" w:space="0" w:color="BCD6EE"/>
              <w:right w:val="single" w:sz="8" w:space="0" w:color="BCD6EE"/>
            </w:tcBorders>
            <w:shd w:val="clear" w:color="auto" w:fill="auto"/>
            <w:vAlign w:val="center"/>
          </w:tcPr>
          <w:p w14:paraId="3F90F2B9"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144.223    </w:t>
            </w:r>
          </w:p>
        </w:tc>
        <w:tc>
          <w:tcPr>
            <w:tcW w:w="1067" w:type="dxa"/>
            <w:tcBorders>
              <w:top w:val="nil"/>
              <w:left w:val="nil"/>
              <w:bottom w:val="single" w:sz="8" w:space="0" w:color="BCD6EE"/>
              <w:right w:val="single" w:sz="8" w:space="0" w:color="BCD6EE"/>
            </w:tcBorders>
            <w:shd w:val="clear" w:color="auto" w:fill="auto"/>
            <w:vAlign w:val="center"/>
          </w:tcPr>
          <w:p w14:paraId="36BC7E65"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147.848    </w:t>
            </w:r>
          </w:p>
        </w:tc>
        <w:tc>
          <w:tcPr>
            <w:tcW w:w="1061" w:type="dxa"/>
            <w:tcBorders>
              <w:top w:val="nil"/>
              <w:left w:val="nil"/>
              <w:bottom w:val="single" w:sz="8" w:space="0" w:color="BCD6EE"/>
              <w:right w:val="single" w:sz="8" w:space="0" w:color="BCD6EE"/>
            </w:tcBorders>
            <w:shd w:val="clear" w:color="auto" w:fill="auto"/>
            <w:vAlign w:val="center"/>
          </w:tcPr>
          <w:p w14:paraId="7849C4B3"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152.394    </w:t>
            </w:r>
          </w:p>
        </w:tc>
        <w:tc>
          <w:tcPr>
            <w:tcW w:w="1059" w:type="dxa"/>
            <w:tcBorders>
              <w:top w:val="nil"/>
              <w:left w:val="nil"/>
              <w:bottom w:val="single" w:sz="8" w:space="0" w:color="BCD6EE"/>
              <w:right w:val="single" w:sz="8" w:space="0" w:color="BCD6EE"/>
            </w:tcBorders>
            <w:shd w:val="clear" w:color="auto" w:fill="auto"/>
            <w:vAlign w:val="center"/>
          </w:tcPr>
          <w:p w14:paraId="410C0954"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150.451    </w:t>
            </w:r>
          </w:p>
        </w:tc>
        <w:tc>
          <w:tcPr>
            <w:tcW w:w="917" w:type="dxa"/>
            <w:tcBorders>
              <w:top w:val="nil"/>
              <w:left w:val="nil"/>
              <w:bottom w:val="single" w:sz="8" w:space="0" w:color="BCD6EE"/>
              <w:right w:val="single" w:sz="8" w:space="0" w:color="BCD6EE"/>
            </w:tcBorders>
          </w:tcPr>
          <w:p w14:paraId="05CEB090"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152.576</w:t>
            </w:r>
          </w:p>
        </w:tc>
      </w:tr>
      <w:tr w:rsidR="00E440CE" w:rsidRPr="00ED7B99" w14:paraId="5AF0CBAF" w14:textId="77777777">
        <w:trPr>
          <w:trHeight w:val="315"/>
        </w:trPr>
        <w:tc>
          <w:tcPr>
            <w:tcW w:w="3013" w:type="dxa"/>
            <w:tcBorders>
              <w:top w:val="nil"/>
              <w:left w:val="single" w:sz="8" w:space="0" w:color="BCD6EE"/>
              <w:bottom w:val="single" w:sz="8" w:space="0" w:color="BCD6EE"/>
              <w:right w:val="single" w:sz="8" w:space="0" w:color="BCD6EE"/>
            </w:tcBorders>
            <w:shd w:val="clear" w:color="auto" w:fill="auto"/>
            <w:vAlign w:val="center"/>
          </w:tcPr>
          <w:p w14:paraId="054FA753"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10</w:t>
            </w:r>
          </w:p>
        </w:tc>
        <w:tc>
          <w:tcPr>
            <w:tcW w:w="1070" w:type="dxa"/>
            <w:tcBorders>
              <w:top w:val="nil"/>
              <w:left w:val="nil"/>
              <w:bottom w:val="single" w:sz="8" w:space="0" w:color="BCD6EE"/>
              <w:right w:val="single" w:sz="8" w:space="0" w:color="BCD6EE"/>
            </w:tcBorders>
            <w:shd w:val="clear" w:color="auto" w:fill="auto"/>
            <w:vAlign w:val="center"/>
          </w:tcPr>
          <w:p w14:paraId="5BD2D166"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9.461    </w:t>
            </w:r>
          </w:p>
        </w:tc>
        <w:tc>
          <w:tcPr>
            <w:tcW w:w="1059" w:type="dxa"/>
            <w:tcBorders>
              <w:top w:val="nil"/>
              <w:left w:val="nil"/>
              <w:bottom w:val="single" w:sz="8" w:space="0" w:color="BCD6EE"/>
              <w:right w:val="single" w:sz="8" w:space="0" w:color="BCD6EE"/>
            </w:tcBorders>
            <w:shd w:val="clear" w:color="auto" w:fill="auto"/>
            <w:vAlign w:val="center"/>
          </w:tcPr>
          <w:p w14:paraId="41B82360"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10.158    </w:t>
            </w:r>
          </w:p>
        </w:tc>
        <w:tc>
          <w:tcPr>
            <w:tcW w:w="1067" w:type="dxa"/>
            <w:tcBorders>
              <w:top w:val="nil"/>
              <w:left w:val="nil"/>
              <w:bottom w:val="single" w:sz="8" w:space="0" w:color="BCD6EE"/>
              <w:right w:val="single" w:sz="8" w:space="0" w:color="BCD6EE"/>
            </w:tcBorders>
            <w:shd w:val="clear" w:color="auto" w:fill="auto"/>
            <w:vAlign w:val="center"/>
          </w:tcPr>
          <w:p w14:paraId="5031F43D"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10.723    </w:t>
            </w:r>
          </w:p>
        </w:tc>
        <w:tc>
          <w:tcPr>
            <w:tcW w:w="1061" w:type="dxa"/>
            <w:tcBorders>
              <w:top w:val="nil"/>
              <w:left w:val="nil"/>
              <w:bottom w:val="single" w:sz="8" w:space="0" w:color="BCD6EE"/>
              <w:right w:val="single" w:sz="8" w:space="0" w:color="BCD6EE"/>
            </w:tcBorders>
            <w:shd w:val="clear" w:color="auto" w:fill="auto"/>
            <w:vAlign w:val="center"/>
          </w:tcPr>
          <w:p w14:paraId="2773A440"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10.906    </w:t>
            </w:r>
          </w:p>
        </w:tc>
        <w:tc>
          <w:tcPr>
            <w:tcW w:w="1059" w:type="dxa"/>
            <w:tcBorders>
              <w:top w:val="nil"/>
              <w:left w:val="nil"/>
              <w:bottom w:val="single" w:sz="8" w:space="0" w:color="BCD6EE"/>
              <w:right w:val="single" w:sz="8" w:space="0" w:color="BCD6EE"/>
            </w:tcBorders>
            <w:shd w:val="clear" w:color="auto" w:fill="auto"/>
            <w:vAlign w:val="center"/>
          </w:tcPr>
          <w:p w14:paraId="1A70E7CB"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 xml:space="preserve">       10.869    </w:t>
            </w:r>
          </w:p>
        </w:tc>
        <w:tc>
          <w:tcPr>
            <w:tcW w:w="917" w:type="dxa"/>
            <w:tcBorders>
              <w:top w:val="nil"/>
              <w:left w:val="nil"/>
              <w:bottom w:val="single" w:sz="8" w:space="0" w:color="BCD6EE"/>
              <w:right w:val="single" w:sz="8" w:space="0" w:color="BCD6EE"/>
            </w:tcBorders>
          </w:tcPr>
          <w:p w14:paraId="78792797" w14:textId="77777777" w:rsidR="00E440CE" w:rsidRPr="00ED7B99" w:rsidRDefault="003422A9">
            <w:pPr>
              <w:spacing w:after="0" w:line="240" w:lineRule="auto"/>
              <w:rPr>
                <w:rFonts w:asciiTheme="majorHAnsi" w:hAnsiTheme="majorHAnsi" w:cstheme="majorHAnsi"/>
                <w:color w:val="000000"/>
                <w:sz w:val="18"/>
                <w:szCs w:val="18"/>
              </w:rPr>
            </w:pPr>
            <w:r w:rsidRPr="00ED7B99">
              <w:rPr>
                <w:rFonts w:asciiTheme="majorHAnsi" w:hAnsiTheme="majorHAnsi" w:cstheme="majorHAnsi"/>
                <w:color w:val="000000"/>
                <w:sz w:val="18"/>
                <w:szCs w:val="18"/>
              </w:rPr>
              <w:t>10.956</w:t>
            </w:r>
          </w:p>
        </w:tc>
      </w:tr>
      <w:tr w:rsidR="00E440CE" w:rsidRPr="00ED7B99" w14:paraId="2A2D9EB7" w14:textId="77777777" w:rsidTr="00683004">
        <w:trPr>
          <w:trHeight w:val="315"/>
        </w:trPr>
        <w:tc>
          <w:tcPr>
            <w:tcW w:w="3013"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62C2CDEA"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Federacija BiH</w:t>
            </w:r>
          </w:p>
        </w:tc>
        <w:tc>
          <w:tcPr>
            <w:tcW w:w="1070" w:type="dxa"/>
            <w:tcBorders>
              <w:top w:val="nil"/>
              <w:left w:val="nil"/>
              <w:bottom w:val="single" w:sz="8" w:space="0" w:color="BCD6EE"/>
              <w:right w:val="single" w:sz="8" w:space="0" w:color="BCD6EE"/>
            </w:tcBorders>
            <w:shd w:val="clear" w:color="auto" w:fill="BCD9DE" w:themeFill="accent5" w:themeFillTint="66"/>
            <w:vAlign w:val="center"/>
          </w:tcPr>
          <w:p w14:paraId="666285F0"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457.894</w:t>
            </w:r>
          </w:p>
        </w:tc>
        <w:tc>
          <w:tcPr>
            <w:tcW w:w="1059" w:type="dxa"/>
            <w:tcBorders>
              <w:top w:val="nil"/>
              <w:left w:val="nil"/>
              <w:bottom w:val="single" w:sz="8" w:space="0" w:color="BCD6EE"/>
              <w:right w:val="single" w:sz="8" w:space="0" w:color="BCD6EE"/>
            </w:tcBorders>
            <w:shd w:val="clear" w:color="auto" w:fill="BCD9DE" w:themeFill="accent5" w:themeFillTint="66"/>
            <w:vAlign w:val="center"/>
          </w:tcPr>
          <w:p w14:paraId="6CB932A8"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505.201</w:t>
            </w:r>
          </w:p>
        </w:tc>
        <w:tc>
          <w:tcPr>
            <w:tcW w:w="1067" w:type="dxa"/>
            <w:tcBorders>
              <w:top w:val="nil"/>
              <w:left w:val="nil"/>
              <w:bottom w:val="single" w:sz="8" w:space="0" w:color="BCD6EE"/>
              <w:right w:val="single" w:sz="8" w:space="0" w:color="BCD6EE"/>
            </w:tcBorders>
            <w:shd w:val="clear" w:color="auto" w:fill="BCD9DE" w:themeFill="accent5" w:themeFillTint="66"/>
            <w:vAlign w:val="center"/>
          </w:tcPr>
          <w:p w14:paraId="17D95B82"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519.800</w:t>
            </w:r>
          </w:p>
        </w:tc>
        <w:tc>
          <w:tcPr>
            <w:tcW w:w="1061" w:type="dxa"/>
            <w:tcBorders>
              <w:top w:val="nil"/>
              <w:left w:val="nil"/>
              <w:bottom w:val="single" w:sz="8" w:space="0" w:color="BCD6EE"/>
              <w:right w:val="single" w:sz="8" w:space="0" w:color="BCD6EE"/>
            </w:tcBorders>
            <w:shd w:val="clear" w:color="auto" w:fill="BCD9DE" w:themeFill="accent5" w:themeFillTint="66"/>
            <w:vAlign w:val="center"/>
          </w:tcPr>
          <w:p w14:paraId="0898431A"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531.483</w:t>
            </w:r>
          </w:p>
        </w:tc>
        <w:tc>
          <w:tcPr>
            <w:tcW w:w="1059" w:type="dxa"/>
            <w:tcBorders>
              <w:top w:val="nil"/>
              <w:left w:val="nil"/>
              <w:bottom w:val="single" w:sz="8" w:space="0" w:color="BCD6EE"/>
              <w:right w:val="single" w:sz="8" w:space="0" w:color="BCD6EE"/>
            </w:tcBorders>
            <w:shd w:val="clear" w:color="auto" w:fill="BCD9DE" w:themeFill="accent5" w:themeFillTint="66"/>
            <w:vAlign w:val="center"/>
          </w:tcPr>
          <w:p w14:paraId="5452EAC0"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520.162</w:t>
            </w:r>
          </w:p>
        </w:tc>
        <w:tc>
          <w:tcPr>
            <w:tcW w:w="917" w:type="dxa"/>
            <w:tcBorders>
              <w:top w:val="nil"/>
              <w:left w:val="nil"/>
              <w:bottom w:val="single" w:sz="8" w:space="0" w:color="BCD6EE"/>
              <w:right w:val="single" w:sz="8" w:space="0" w:color="BCD6EE"/>
            </w:tcBorders>
            <w:shd w:val="clear" w:color="auto" w:fill="BCD9DE" w:themeFill="accent5" w:themeFillTint="66"/>
          </w:tcPr>
          <w:p w14:paraId="0C04AB55" w14:textId="77777777" w:rsidR="00E440CE" w:rsidRPr="00ED7B99" w:rsidRDefault="003422A9">
            <w:pPr>
              <w:spacing w:after="0" w:line="240" w:lineRule="auto"/>
              <w:jc w:val="right"/>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525.397</w:t>
            </w:r>
          </w:p>
        </w:tc>
      </w:tr>
    </w:tbl>
    <w:p w14:paraId="332EAD38" w14:textId="77777777" w:rsidR="00E440CE" w:rsidRPr="00ED7B99" w:rsidRDefault="003422A9">
      <w:pPr>
        <w:rPr>
          <w:rFonts w:asciiTheme="majorHAnsi" w:hAnsiTheme="majorHAnsi" w:cstheme="majorHAnsi"/>
          <w:i/>
          <w:sz w:val="20"/>
          <w:szCs w:val="20"/>
        </w:rPr>
      </w:pPr>
      <w:r w:rsidRPr="00ED7B99">
        <w:rPr>
          <w:rFonts w:asciiTheme="majorHAnsi" w:hAnsiTheme="majorHAnsi" w:cstheme="majorHAnsi"/>
          <w:i/>
          <w:sz w:val="20"/>
          <w:szCs w:val="20"/>
        </w:rPr>
        <w:t xml:space="preserve">Izvor podataka: Federalni zavod za programiranje podataka, Makroekonomski pokazatelji po kantonima </w:t>
      </w:r>
    </w:p>
    <w:p w14:paraId="20B815E9" w14:textId="5F285984" w:rsidR="00E440CE" w:rsidRPr="00ED7B99" w:rsidRDefault="003422A9">
      <w:pPr>
        <w:jc w:val="both"/>
        <w:rPr>
          <w:rFonts w:asciiTheme="majorHAnsi" w:hAnsiTheme="majorHAnsi" w:cstheme="majorHAnsi"/>
        </w:rPr>
      </w:pPr>
      <w:r w:rsidRPr="00ED7B99">
        <w:rPr>
          <w:rFonts w:asciiTheme="majorHAnsi" w:hAnsiTheme="majorHAnsi" w:cstheme="majorHAnsi"/>
        </w:rPr>
        <w:t xml:space="preserve">Kada se posmatra stepen zaposlenosti po kantonima, najniži stepen zaposlenosti od 20% i niže je zabilježen u Unsko-sanskom kantonu u 2021. godini, kojeg prati Kanton 10 sa stopom zaposlenosti od 20.4%. U ovim kantonima je radi nerazvijenosti i socioekonomske situacije zabilježen i najveći odliv stanovništva te se u tome može tražiti i razlog ovako niske stope zaposlenosti. Prirodno najveći stepen zaposlenosti od cca 50% je zabilježen u Kantonu Sarajevo, a razlog tome je činjenica da se u Sarajevu kao glavnom gradu najviše ulaže u razvoj privredne sredine što potvrđuju i indikatori razvoja. Stepen zaposlenosti po kantonima u promatranom periodu je ujednačen odnosno ne može se </w:t>
      </w:r>
      <w:r w:rsidR="00637429">
        <w:rPr>
          <w:rFonts w:asciiTheme="majorHAnsi" w:hAnsiTheme="majorHAnsi" w:cstheme="majorHAnsi"/>
        </w:rPr>
        <w:t>iz</w:t>
      </w:r>
      <w:r w:rsidRPr="00ED7B99">
        <w:rPr>
          <w:rFonts w:asciiTheme="majorHAnsi" w:hAnsiTheme="majorHAnsi" w:cstheme="majorHAnsi"/>
        </w:rPr>
        <w:t>d</w:t>
      </w:r>
      <w:r w:rsidR="00637429">
        <w:rPr>
          <w:rFonts w:asciiTheme="majorHAnsi" w:hAnsiTheme="majorHAnsi" w:cstheme="majorHAnsi"/>
        </w:rPr>
        <w:t>v</w:t>
      </w:r>
      <w:r w:rsidRPr="00ED7B99">
        <w:rPr>
          <w:rFonts w:asciiTheme="majorHAnsi" w:hAnsiTheme="majorHAnsi" w:cstheme="majorHAnsi"/>
        </w:rPr>
        <w:t xml:space="preserve">ojiti nijedan kanton koji je zabilježio značajniji rast ili pad zaposlenosti u odnosu na ostale (Tabela </w:t>
      </w:r>
      <w:r w:rsidR="004C0398" w:rsidRPr="00ED7B99">
        <w:rPr>
          <w:rFonts w:asciiTheme="majorHAnsi" w:hAnsiTheme="majorHAnsi" w:cstheme="majorHAnsi"/>
        </w:rPr>
        <w:t>9</w:t>
      </w:r>
      <w:r w:rsidRPr="00ED7B99">
        <w:rPr>
          <w:rFonts w:asciiTheme="majorHAnsi" w:hAnsiTheme="majorHAnsi" w:cstheme="majorHAnsi"/>
        </w:rPr>
        <w:t xml:space="preserve">).   </w:t>
      </w:r>
    </w:p>
    <w:p w14:paraId="512D59F2" w14:textId="34736873" w:rsidR="00E440CE" w:rsidRPr="00ED7B99" w:rsidRDefault="00E440CE">
      <w:pPr>
        <w:pBdr>
          <w:top w:val="nil"/>
          <w:left w:val="nil"/>
          <w:bottom w:val="nil"/>
          <w:right w:val="nil"/>
          <w:between w:val="nil"/>
        </w:pBdr>
        <w:spacing w:after="0" w:line="240" w:lineRule="auto"/>
        <w:jc w:val="center"/>
        <w:rPr>
          <w:rFonts w:asciiTheme="majorHAnsi" w:hAnsiTheme="majorHAnsi" w:cstheme="majorHAnsi"/>
          <w:b/>
          <w:i/>
          <w:color w:val="1E5F9F"/>
          <w:sz w:val="18"/>
          <w:szCs w:val="18"/>
          <w:highlight w:val="yellow"/>
        </w:rPr>
      </w:pPr>
    </w:p>
    <w:p w14:paraId="58BDD4CA" w14:textId="6C6F49CF"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9</w:t>
      </w:r>
      <w:r w:rsidR="0054018A" w:rsidRPr="00ED7B99">
        <w:rPr>
          <w:rFonts w:asciiTheme="majorHAnsi" w:hAnsiTheme="majorHAnsi" w:cstheme="majorHAnsi"/>
        </w:rPr>
        <w:fldChar w:fldCharType="end"/>
      </w:r>
      <w:r w:rsidRPr="00ED7B99">
        <w:rPr>
          <w:rFonts w:asciiTheme="majorHAnsi" w:hAnsiTheme="majorHAnsi" w:cstheme="majorHAnsi"/>
        </w:rPr>
        <w:t>. Stepen zaposlenosti po kantonima Federacije BiH za period 2016-2021 godina</w:t>
      </w:r>
    </w:p>
    <w:tbl>
      <w:tblPr>
        <w:tblStyle w:val="a6"/>
        <w:tblW w:w="9246" w:type="dxa"/>
        <w:tblInd w:w="94" w:type="dxa"/>
        <w:tblLayout w:type="fixed"/>
        <w:tblLook w:val="0400" w:firstRow="0" w:lastRow="0" w:firstColumn="0" w:lastColumn="0" w:noHBand="0" w:noVBand="1"/>
      </w:tblPr>
      <w:tblGrid>
        <w:gridCol w:w="3010"/>
        <w:gridCol w:w="1047"/>
        <w:gridCol w:w="1160"/>
        <w:gridCol w:w="1043"/>
        <w:gridCol w:w="1023"/>
        <w:gridCol w:w="1049"/>
        <w:gridCol w:w="914"/>
      </w:tblGrid>
      <w:tr w:rsidR="00E440CE" w:rsidRPr="00ED7B99" w14:paraId="638E1412" w14:textId="77777777" w:rsidTr="00683004">
        <w:trPr>
          <w:trHeight w:val="315"/>
        </w:trPr>
        <w:tc>
          <w:tcPr>
            <w:tcW w:w="9246" w:type="dxa"/>
            <w:gridSpan w:val="7"/>
            <w:tcBorders>
              <w:top w:val="single" w:sz="8" w:space="0" w:color="BCD6EE"/>
              <w:left w:val="single" w:sz="8" w:space="0" w:color="BCD6EE"/>
              <w:bottom w:val="single" w:sz="8" w:space="0" w:color="BCD6EE"/>
              <w:right w:val="single" w:sz="8" w:space="0" w:color="BCD6EE"/>
            </w:tcBorders>
            <w:shd w:val="clear" w:color="auto" w:fill="BCD9DE" w:themeFill="accent5" w:themeFillTint="66"/>
            <w:vAlign w:val="center"/>
          </w:tcPr>
          <w:p w14:paraId="53E06BA2"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Stepen zaposlenosti u F BiH po kantonima</w:t>
            </w:r>
          </w:p>
        </w:tc>
      </w:tr>
      <w:tr w:rsidR="00E440CE" w:rsidRPr="00ED7B99" w14:paraId="6CE2C779" w14:textId="77777777" w:rsidTr="00683004">
        <w:trPr>
          <w:trHeight w:val="315"/>
        </w:trPr>
        <w:tc>
          <w:tcPr>
            <w:tcW w:w="3010"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5CA4D7CB"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w:t>
            </w:r>
          </w:p>
        </w:tc>
        <w:tc>
          <w:tcPr>
            <w:tcW w:w="1047" w:type="dxa"/>
            <w:tcBorders>
              <w:top w:val="nil"/>
              <w:left w:val="nil"/>
              <w:bottom w:val="single" w:sz="8" w:space="0" w:color="BCD6EE"/>
              <w:right w:val="single" w:sz="8" w:space="0" w:color="BCD6EE"/>
            </w:tcBorders>
            <w:shd w:val="clear" w:color="auto" w:fill="BCD9DE" w:themeFill="accent5" w:themeFillTint="66"/>
            <w:vAlign w:val="center"/>
          </w:tcPr>
          <w:p w14:paraId="3AF77E1C"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2016</w:t>
            </w:r>
          </w:p>
        </w:tc>
        <w:tc>
          <w:tcPr>
            <w:tcW w:w="1160" w:type="dxa"/>
            <w:tcBorders>
              <w:top w:val="nil"/>
              <w:left w:val="nil"/>
              <w:bottom w:val="single" w:sz="8" w:space="0" w:color="BCD6EE"/>
              <w:right w:val="single" w:sz="8" w:space="0" w:color="BCD6EE"/>
            </w:tcBorders>
            <w:shd w:val="clear" w:color="auto" w:fill="BCD9DE" w:themeFill="accent5" w:themeFillTint="66"/>
            <w:vAlign w:val="center"/>
          </w:tcPr>
          <w:p w14:paraId="43ADB936"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2017</w:t>
            </w:r>
          </w:p>
        </w:tc>
        <w:tc>
          <w:tcPr>
            <w:tcW w:w="1043" w:type="dxa"/>
            <w:tcBorders>
              <w:top w:val="nil"/>
              <w:left w:val="nil"/>
              <w:bottom w:val="single" w:sz="8" w:space="0" w:color="BCD6EE"/>
              <w:right w:val="single" w:sz="8" w:space="0" w:color="BCD6EE"/>
            </w:tcBorders>
            <w:shd w:val="clear" w:color="auto" w:fill="BCD9DE" w:themeFill="accent5" w:themeFillTint="66"/>
            <w:vAlign w:val="center"/>
          </w:tcPr>
          <w:p w14:paraId="7AA71991"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2018</w:t>
            </w:r>
          </w:p>
        </w:tc>
        <w:tc>
          <w:tcPr>
            <w:tcW w:w="1023" w:type="dxa"/>
            <w:tcBorders>
              <w:top w:val="nil"/>
              <w:left w:val="nil"/>
              <w:bottom w:val="single" w:sz="8" w:space="0" w:color="BCD6EE"/>
              <w:right w:val="single" w:sz="8" w:space="0" w:color="BCD6EE"/>
            </w:tcBorders>
            <w:shd w:val="clear" w:color="auto" w:fill="BCD9DE" w:themeFill="accent5" w:themeFillTint="66"/>
            <w:vAlign w:val="center"/>
          </w:tcPr>
          <w:p w14:paraId="778CBE6B"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2019</w:t>
            </w:r>
          </w:p>
        </w:tc>
        <w:tc>
          <w:tcPr>
            <w:tcW w:w="1049" w:type="dxa"/>
            <w:tcBorders>
              <w:top w:val="nil"/>
              <w:left w:val="nil"/>
              <w:bottom w:val="single" w:sz="8" w:space="0" w:color="BCD6EE"/>
              <w:right w:val="single" w:sz="8" w:space="0" w:color="BCD6EE"/>
            </w:tcBorders>
            <w:shd w:val="clear" w:color="auto" w:fill="BCD9DE" w:themeFill="accent5" w:themeFillTint="66"/>
            <w:vAlign w:val="center"/>
          </w:tcPr>
          <w:p w14:paraId="6D71FAB1"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2020</w:t>
            </w:r>
          </w:p>
        </w:tc>
        <w:tc>
          <w:tcPr>
            <w:tcW w:w="914" w:type="dxa"/>
            <w:tcBorders>
              <w:top w:val="nil"/>
              <w:left w:val="nil"/>
              <w:bottom w:val="single" w:sz="8" w:space="0" w:color="BCD6EE"/>
              <w:right w:val="single" w:sz="8" w:space="0" w:color="BCD6EE"/>
            </w:tcBorders>
            <w:shd w:val="clear" w:color="auto" w:fill="BCD9DE" w:themeFill="accent5" w:themeFillTint="66"/>
          </w:tcPr>
          <w:p w14:paraId="48AB40D3"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2021</w:t>
            </w:r>
          </w:p>
        </w:tc>
      </w:tr>
      <w:tr w:rsidR="00E440CE" w:rsidRPr="00ED7B99" w14:paraId="2617D248"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530B7194"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Unsko - sanski</w:t>
            </w:r>
          </w:p>
        </w:tc>
        <w:tc>
          <w:tcPr>
            <w:tcW w:w="1047" w:type="dxa"/>
            <w:tcBorders>
              <w:top w:val="nil"/>
              <w:left w:val="nil"/>
              <w:bottom w:val="single" w:sz="8" w:space="0" w:color="BCD6EE"/>
              <w:right w:val="single" w:sz="8" w:space="0" w:color="BCD6EE"/>
            </w:tcBorders>
            <w:shd w:val="clear" w:color="auto" w:fill="auto"/>
            <w:vAlign w:val="center"/>
          </w:tcPr>
          <w:p w14:paraId="79112815"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17,0%</w:t>
            </w:r>
          </w:p>
        </w:tc>
        <w:tc>
          <w:tcPr>
            <w:tcW w:w="1160" w:type="dxa"/>
            <w:tcBorders>
              <w:top w:val="nil"/>
              <w:left w:val="nil"/>
              <w:bottom w:val="single" w:sz="8" w:space="0" w:color="BCD6EE"/>
              <w:right w:val="single" w:sz="8" w:space="0" w:color="BCD6EE"/>
            </w:tcBorders>
            <w:shd w:val="clear" w:color="auto" w:fill="auto"/>
            <w:vAlign w:val="center"/>
          </w:tcPr>
          <w:p w14:paraId="223BAE5C"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19,1%</w:t>
            </w:r>
          </w:p>
        </w:tc>
        <w:tc>
          <w:tcPr>
            <w:tcW w:w="1043" w:type="dxa"/>
            <w:tcBorders>
              <w:top w:val="nil"/>
              <w:left w:val="nil"/>
              <w:bottom w:val="single" w:sz="8" w:space="0" w:color="BCD6EE"/>
              <w:right w:val="single" w:sz="8" w:space="0" w:color="BCD6EE"/>
            </w:tcBorders>
            <w:shd w:val="clear" w:color="auto" w:fill="auto"/>
            <w:vAlign w:val="center"/>
          </w:tcPr>
          <w:p w14:paraId="669CB54B"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19,3%</w:t>
            </w:r>
          </w:p>
        </w:tc>
        <w:tc>
          <w:tcPr>
            <w:tcW w:w="1023" w:type="dxa"/>
            <w:tcBorders>
              <w:top w:val="nil"/>
              <w:left w:val="nil"/>
              <w:bottom w:val="single" w:sz="8" w:space="0" w:color="BCD6EE"/>
              <w:right w:val="single" w:sz="8" w:space="0" w:color="BCD6EE"/>
            </w:tcBorders>
            <w:shd w:val="clear" w:color="auto" w:fill="auto"/>
            <w:vAlign w:val="center"/>
          </w:tcPr>
          <w:p w14:paraId="24E3EF17"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19,7%</w:t>
            </w:r>
          </w:p>
        </w:tc>
        <w:tc>
          <w:tcPr>
            <w:tcW w:w="1049" w:type="dxa"/>
            <w:tcBorders>
              <w:top w:val="nil"/>
              <w:left w:val="nil"/>
              <w:bottom w:val="single" w:sz="8" w:space="0" w:color="BCD6EE"/>
              <w:right w:val="single" w:sz="8" w:space="0" w:color="BCD6EE"/>
            </w:tcBorders>
            <w:shd w:val="clear" w:color="auto" w:fill="auto"/>
            <w:vAlign w:val="center"/>
          </w:tcPr>
          <w:p w14:paraId="57580DF6"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19,30%</w:t>
            </w:r>
          </w:p>
        </w:tc>
        <w:tc>
          <w:tcPr>
            <w:tcW w:w="914" w:type="dxa"/>
            <w:tcBorders>
              <w:top w:val="nil"/>
              <w:left w:val="nil"/>
              <w:bottom w:val="single" w:sz="8" w:space="0" w:color="BCD6EE"/>
              <w:right w:val="single" w:sz="8" w:space="0" w:color="BCD6EE"/>
            </w:tcBorders>
          </w:tcPr>
          <w:p w14:paraId="681C7094"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19,80%</w:t>
            </w:r>
          </w:p>
        </w:tc>
      </w:tr>
      <w:tr w:rsidR="00E440CE" w:rsidRPr="00ED7B99" w14:paraId="2958D7D7"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7AEAD8F0"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Posavski</w:t>
            </w:r>
          </w:p>
        </w:tc>
        <w:tc>
          <w:tcPr>
            <w:tcW w:w="1047" w:type="dxa"/>
            <w:tcBorders>
              <w:top w:val="nil"/>
              <w:left w:val="nil"/>
              <w:bottom w:val="single" w:sz="8" w:space="0" w:color="BCD6EE"/>
              <w:right w:val="single" w:sz="8" w:space="0" w:color="BCD6EE"/>
            </w:tcBorders>
            <w:shd w:val="clear" w:color="auto" w:fill="auto"/>
            <w:vAlign w:val="center"/>
          </w:tcPr>
          <w:p w14:paraId="1E9165A7"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19,1%</w:t>
            </w:r>
          </w:p>
        </w:tc>
        <w:tc>
          <w:tcPr>
            <w:tcW w:w="1160" w:type="dxa"/>
            <w:tcBorders>
              <w:top w:val="nil"/>
              <w:left w:val="nil"/>
              <w:bottom w:val="nil"/>
              <w:right w:val="nil"/>
            </w:tcBorders>
            <w:shd w:val="clear" w:color="auto" w:fill="auto"/>
            <w:vAlign w:val="bottom"/>
          </w:tcPr>
          <w:p w14:paraId="4AF571E3" w14:textId="77777777" w:rsidR="00E440CE" w:rsidRPr="00ED7B99" w:rsidRDefault="003422A9">
            <w:pPr>
              <w:spacing w:after="0" w:line="240" w:lineRule="auto"/>
              <w:jc w:val="center"/>
              <w:rPr>
                <w:rFonts w:asciiTheme="majorHAnsi" w:hAnsiTheme="majorHAnsi" w:cstheme="majorHAnsi"/>
                <w:color w:val="000000"/>
              </w:rPr>
            </w:pPr>
            <w:r w:rsidRPr="00ED7B99">
              <w:rPr>
                <w:rFonts w:asciiTheme="majorHAnsi" w:hAnsiTheme="majorHAnsi" w:cstheme="majorHAnsi"/>
                <w:color w:val="000000"/>
              </w:rPr>
              <w:t>21,2%</w:t>
            </w:r>
          </w:p>
        </w:tc>
        <w:tc>
          <w:tcPr>
            <w:tcW w:w="1043" w:type="dxa"/>
            <w:tcBorders>
              <w:top w:val="nil"/>
              <w:left w:val="single" w:sz="8" w:space="0" w:color="BCD6EE"/>
              <w:bottom w:val="single" w:sz="8" w:space="0" w:color="BCD6EE"/>
              <w:right w:val="single" w:sz="8" w:space="0" w:color="BCD6EE"/>
            </w:tcBorders>
            <w:shd w:val="clear" w:color="auto" w:fill="auto"/>
            <w:vAlign w:val="center"/>
          </w:tcPr>
          <w:p w14:paraId="451EF079"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21,6%</w:t>
            </w:r>
          </w:p>
        </w:tc>
        <w:tc>
          <w:tcPr>
            <w:tcW w:w="1023" w:type="dxa"/>
            <w:tcBorders>
              <w:top w:val="nil"/>
              <w:left w:val="nil"/>
              <w:bottom w:val="single" w:sz="8" w:space="0" w:color="BCD6EE"/>
              <w:right w:val="single" w:sz="8" w:space="0" w:color="BCD6EE"/>
            </w:tcBorders>
            <w:shd w:val="clear" w:color="auto" w:fill="auto"/>
            <w:vAlign w:val="center"/>
          </w:tcPr>
          <w:p w14:paraId="4EFC3815"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21,9%</w:t>
            </w:r>
          </w:p>
        </w:tc>
        <w:tc>
          <w:tcPr>
            <w:tcW w:w="1049" w:type="dxa"/>
            <w:tcBorders>
              <w:top w:val="nil"/>
              <w:left w:val="nil"/>
              <w:bottom w:val="single" w:sz="8" w:space="0" w:color="BCD6EE"/>
              <w:right w:val="single" w:sz="8" w:space="0" w:color="BCD6EE"/>
            </w:tcBorders>
            <w:shd w:val="clear" w:color="auto" w:fill="auto"/>
            <w:vAlign w:val="center"/>
          </w:tcPr>
          <w:p w14:paraId="3D006D93"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21,50%</w:t>
            </w:r>
          </w:p>
        </w:tc>
        <w:tc>
          <w:tcPr>
            <w:tcW w:w="914" w:type="dxa"/>
            <w:tcBorders>
              <w:top w:val="nil"/>
              <w:left w:val="nil"/>
              <w:bottom w:val="single" w:sz="8" w:space="0" w:color="BCD6EE"/>
              <w:right w:val="single" w:sz="8" w:space="0" w:color="BCD6EE"/>
            </w:tcBorders>
          </w:tcPr>
          <w:p w14:paraId="5478621D"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21,40%</w:t>
            </w:r>
          </w:p>
        </w:tc>
      </w:tr>
      <w:tr w:rsidR="00E440CE" w:rsidRPr="00ED7B99" w14:paraId="1839A3DF"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505D1CC2"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Tuzlanski</w:t>
            </w:r>
          </w:p>
        </w:tc>
        <w:tc>
          <w:tcPr>
            <w:tcW w:w="1047" w:type="dxa"/>
            <w:tcBorders>
              <w:top w:val="nil"/>
              <w:left w:val="nil"/>
              <w:bottom w:val="single" w:sz="8" w:space="0" w:color="BCD6EE"/>
              <w:right w:val="single" w:sz="8" w:space="0" w:color="BCD6EE"/>
            </w:tcBorders>
            <w:shd w:val="clear" w:color="auto" w:fill="auto"/>
            <w:vAlign w:val="center"/>
          </w:tcPr>
          <w:p w14:paraId="1F252D86"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26,7%</w:t>
            </w:r>
          </w:p>
        </w:tc>
        <w:tc>
          <w:tcPr>
            <w:tcW w:w="1160" w:type="dxa"/>
            <w:tcBorders>
              <w:top w:val="single" w:sz="8" w:space="0" w:color="BCD6EE"/>
              <w:left w:val="nil"/>
              <w:bottom w:val="single" w:sz="8" w:space="0" w:color="BCD6EE"/>
              <w:right w:val="single" w:sz="8" w:space="0" w:color="BCD6EE"/>
            </w:tcBorders>
            <w:shd w:val="clear" w:color="auto" w:fill="auto"/>
            <w:vAlign w:val="center"/>
          </w:tcPr>
          <w:p w14:paraId="7050287F"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29,8%</w:t>
            </w:r>
          </w:p>
        </w:tc>
        <w:tc>
          <w:tcPr>
            <w:tcW w:w="1043" w:type="dxa"/>
            <w:tcBorders>
              <w:top w:val="nil"/>
              <w:left w:val="nil"/>
              <w:bottom w:val="single" w:sz="8" w:space="0" w:color="BCD6EE"/>
              <w:right w:val="single" w:sz="8" w:space="0" w:color="BCD6EE"/>
            </w:tcBorders>
            <w:shd w:val="clear" w:color="auto" w:fill="auto"/>
            <w:vAlign w:val="center"/>
          </w:tcPr>
          <w:p w14:paraId="4E2E8087"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31,1%</w:t>
            </w:r>
          </w:p>
        </w:tc>
        <w:tc>
          <w:tcPr>
            <w:tcW w:w="1023" w:type="dxa"/>
            <w:tcBorders>
              <w:top w:val="nil"/>
              <w:left w:val="nil"/>
              <w:bottom w:val="single" w:sz="8" w:space="0" w:color="BCD6EE"/>
              <w:right w:val="single" w:sz="8" w:space="0" w:color="BCD6EE"/>
            </w:tcBorders>
            <w:shd w:val="clear" w:color="auto" w:fill="auto"/>
            <w:vAlign w:val="center"/>
          </w:tcPr>
          <w:p w14:paraId="6905A690"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32,3%</w:t>
            </w:r>
          </w:p>
        </w:tc>
        <w:tc>
          <w:tcPr>
            <w:tcW w:w="1049" w:type="dxa"/>
            <w:tcBorders>
              <w:top w:val="nil"/>
              <w:left w:val="nil"/>
              <w:bottom w:val="single" w:sz="8" w:space="0" w:color="BCD6EE"/>
              <w:right w:val="single" w:sz="8" w:space="0" w:color="BCD6EE"/>
            </w:tcBorders>
            <w:shd w:val="clear" w:color="auto" w:fill="auto"/>
            <w:vAlign w:val="center"/>
          </w:tcPr>
          <w:p w14:paraId="18D3D541"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32,20%</w:t>
            </w:r>
          </w:p>
        </w:tc>
        <w:tc>
          <w:tcPr>
            <w:tcW w:w="914" w:type="dxa"/>
            <w:tcBorders>
              <w:top w:val="nil"/>
              <w:left w:val="nil"/>
              <w:bottom w:val="single" w:sz="8" w:space="0" w:color="BCD6EE"/>
              <w:right w:val="single" w:sz="8" w:space="0" w:color="BCD6EE"/>
            </w:tcBorders>
          </w:tcPr>
          <w:p w14:paraId="11A8EA85"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33,10%</w:t>
            </w:r>
          </w:p>
        </w:tc>
      </w:tr>
      <w:tr w:rsidR="00E440CE" w:rsidRPr="00ED7B99" w14:paraId="70BEA8F3"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76505449"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Zeničko-dobojski</w:t>
            </w:r>
          </w:p>
        </w:tc>
        <w:tc>
          <w:tcPr>
            <w:tcW w:w="1047" w:type="dxa"/>
            <w:tcBorders>
              <w:top w:val="nil"/>
              <w:left w:val="nil"/>
              <w:bottom w:val="single" w:sz="8" w:space="0" w:color="BCD6EE"/>
              <w:right w:val="single" w:sz="8" w:space="0" w:color="BCD6EE"/>
            </w:tcBorders>
            <w:shd w:val="clear" w:color="auto" w:fill="auto"/>
            <w:vAlign w:val="center"/>
          </w:tcPr>
          <w:p w14:paraId="02BE7028"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28,1%</w:t>
            </w:r>
          </w:p>
        </w:tc>
        <w:tc>
          <w:tcPr>
            <w:tcW w:w="1160" w:type="dxa"/>
            <w:tcBorders>
              <w:top w:val="nil"/>
              <w:left w:val="nil"/>
              <w:bottom w:val="single" w:sz="8" w:space="0" w:color="BCD6EE"/>
              <w:right w:val="single" w:sz="8" w:space="0" w:color="BCD6EE"/>
            </w:tcBorders>
            <w:shd w:val="clear" w:color="auto" w:fill="auto"/>
            <w:vAlign w:val="center"/>
          </w:tcPr>
          <w:p w14:paraId="5EE156EB"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31,1%</w:t>
            </w:r>
          </w:p>
        </w:tc>
        <w:tc>
          <w:tcPr>
            <w:tcW w:w="1043" w:type="dxa"/>
            <w:tcBorders>
              <w:top w:val="nil"/>
              <w:left w:val="nil"/>
              <w:bottom w:val="single" w:sz="8" w:space="0" w:color="BCD6EE"/>
              <w:right w:val="single" w:sz="8" w:space="0" w:color="BCD6EE"/>
            </w:tcBorders>
            <w:shd w:val="clear" w:color="auto" w:fill="auto"/>
            <w:vAlign w:val="center"/>
          </w:tcPr>
          <w:p w14:paraId="05D04B8B"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32,6%</w:t>
            </w:r>
          </w:p>
        </w:tc>
        <w:tc>
          <w:tcPr>
            <w:tcW w:w="1023" w:type="dxa"/>
            <w:tcBorders>
              <w:top w:val="nil"/>
              <w:left w:val="nil"/>
              <w:bottom w:val="single" w:sz="8" w:space="0" w:color="BCD6EE"/>
              <w:right w:val="single" w:sz="8" w:space="0" w:color="BCD6EE"/>
            </w:tcBorders>
            <w:shd w:val="clear" w:color="auto" w:fill="auto"/>
            <w:vAlign w:val="center"/>
          </w:tcPr>
          <w:p w14:paraId="22EED9A2"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33,5%</w:t>
            </w:r>
          </w:p>
        </w:tc>
        <w:tc>
          <w:tcPr>
            <w:tcW w:w="1049" w:type="dxa"/>
            <w:tcBorders>
              <w:top w:val="nil"/>
              <w:left w:val="nil"/>
              <w:bottom w:val="single" w:sz="8" w:space="0" w:color="BCD6EE"/>
              <w:right w:val="single" w:sz="8" w:space="0" w:color="BCD6EE"/>
            </w:tcBorders>
            <w:shd w:val="clear" w:color="auto" w:fill="auto"/>
            <w:vAlign w:val="center"/>
          </w:tcPr>
          <w:p w14:paraId="401FCFED"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33,00%</w:t>
            </w:r>
          </w:p>
        </w:tc>
        <w:tc>
          <w:tcPr>
            <w:tcW w:w="914" w:type="dxa"/>
            <w:tcBorders>
              <w:top w:val="nil"/>
              <w:left w:val="nil"/>
              <w:bottom w:val="single" w:sz="8" w:space="0" w:color="BCD6EE"/>
              <w:right w:val="single" w:sz="8" w:space="0" w:color="BCD6EE"/>
            </w:tcBorders>
          </w:tcPr>
          <w:p w14:paraId="1F789A28"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33,5%%</w:t>
            </w:r>
          </w:p>
        </w:tc>
      </w:tr>
      <w:tr w:rsidR="00E440CE" w:rsidRPr="00ED7B99" w14:paraId="48388714"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5D6469DD"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Bosansko-podrinjski</w:t>
            </w:r>
          </w:p>
        </w:tc>
        <w:tc>
          <w:tcPr>
            <w:tcW w:w="1047" w:type="dxa"/>
            <w:tcBorders>
              <w:top w:val="nil"/>
              <w:left w:val="nil"/>
              <w:bottom w:val="single" w:sz="8" w:space="0" w:color="BCD6EE"/>
              <w:right w:val="single" w:sz="8" w:space="0" w:color="BCD6EE"/>
            </w:tcBorders>
            <w:shd w:val="clear" w:color="auto" w:fill="auto"/>
            <w:vAlign w:val="center"/>
          </w:tcPr>
          <w:p w14:paraId="703E193A"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40,9%</w:t>
            </w:r>
          </w:p>
        </w:tc>
        <w:tc>
          <w:tcPr>
            <w:tcW w:w="1160" w:type="dxa"/>
            <w:tcBorders>
              <w:top w:val="nil"/>
              <w:left w:val="nil"/>
              <w:bottom w:val="single" w:sz="8" w:space="0" w:color="BCD6EE"/>
              <w:right w:val="single" w:sz="8" w:space="0" w:color="BCD6EE"/>
            </w:tcBorders>
            <w:shd w:val="clear" w:color="auto" w:fill="auto"/>
            <w:vAlign w:val="center"/>
          </w:tcPr>
          <w:p w14:paraId="195AAD06"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44,4%</w:t>
            </w:r>
          </w:p>
        </w:tc>
        <w:tc>
          <w:tcPr>
            <w:tcW w:w="1043" w:type="dxa"/>
            <w:tcBorders>
              <w:top w:val="nil"/>
              <w:left w:val="nil"/>
              <w:bottom w:val="single" w:sz="8" w:space="0" w:color="BCD6EE"/>
              <w:right w:val="single" w:sz="8" w:space="0" w:color="BCD6EE"/>
            </w:tcBorders>
            <w:shd w:val="clear" w:color="auto" w:fill="auto"/>
            <w:vAlign w:val="center"/>
          </w:tcPr>
          <w:p w14:paraId="46AC88D6"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46,3%</w:t>
            </w:r>
          </w:p>
        </w:tc>
        <w:tc>
          <w:tcPr>
            <w:tcW w:w="1023" w:type="dxa"/>
            <w:tcBorders>
              <w:top w:val="nil"/>
              <w:left w:val="nil"/>
              <w:bottom w:val="single" w:sz="8" w:space="0" w:color="BCD6EE"/>
              <w:right w:val="single" w:sz="8" w:space="0" w:color="BCD6EE"/>
            </w:tcBorders>
            <w:shd w:val="clear" w:color="auto" w:fill="auto"/>
            <w:vAlign w:val="center"/>
          </w:tcPr>
          <w:p w14:paraId="640A426C"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45,9%</w:t>
            </w:r>
          </w:p>
        </w:tc>
        <w:tc>
          <w:tcPr>
            <w:tcW w:w="1049" w:type="dxa"/>
            <w:tcBorders>
              <w:top w:val="nil"/>
              <w:left w:val="nil"/>
              <w:bottom w:val="single" w:sz="8" w:space="0" w:color="BCD6EE"/>
              <w:right w:val="single" w:sz="8" w:space="0" w:color="BCD6EE"/>
            </w:tcBorders>
            <w:shd w:val="clear" w:color="auto" w:fill="auto"/>
            <w:vAlign w:val="center"/>
          </w:tcPr>
          <w:p w14:paraId="78A30A6A"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45,60%</w:t>
            </w:r>
          </w:p>
        </w:tc>
        <w:tc>
          <w:tcPr>
            <w:tcW w:w="914" w:type="dxa"/>
            <w:tcBorders>
              <w:top w:val="nil"/>
              <w:left w:val="nil"/>
              <w:bottom w:val="single" w:sz="8" w:space="0" w:color="BCD6EE"/>
              <w:right w:val="single" w:sz="8" w:space="0" w:color="BCD6EE"/>
            </w:tcBorders>
          </w:tcPr>
          <w:p w14:paraId="21D374E7"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47,0%</w:t>
            </w:r>
          </w:p>
        </w:tc>
      </w:tr>
      <w:tr w:rsidR="00E440CE" w:rsidRPr="00ED7B99" w14:paraId="7D5AA93A"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3BA2D6D8"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Srednjobosanski</w:t>
            </w:r>
          </w:p>
        </w:tc>
        <w:tc>
          <w:tcPr>
            <w:tcW w:w="1047" w:type="dxa"/>
            <w:tcBorders>
              <w:top w:val="nil"/>
              <w:left w:val="nil"/>
              <w:bottom w:val="single" w:sz="8" w:space="0" w:color="BCD6EE"/>
              <w:right w:val="single" w:sz="8" w:space="0" w:color="BCD6EE"/>
            </w:tcBorders>
            <w:shd w:val="clear" w:color="auto" w:fill="auto"/>
            <w:vAlign w:val="center"/>
          </w:tcPr>
          <w:p w14:paraId="7118E85E"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24,3%</w:t>
            </w:r>
          </w:p>
        </w:tc>
        <w:tc>
          <w:tcPr>
            <w:tcW w:w="1160" w:type="dxa"/>
            <w:tcBorders>
              <w:top w:val="nil"/>
              <w:left w:val="nil"/>
              <w:bottom w:val="single" w:sz="8" w:space="0" w:color="BCD6EE"/>
              <w:right w:val="single" w:sz="8" w:space="0" w:color="BCD6EE"/>
            </w:tcBorders>
            <w:shd w:val="clear" w:color="auto" w:fill="auto"/>
            <w:vAlign w:val="center"/>
          </w:tcPr>
          <w:p w14:paraId="63975E6C"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27,6%</w:t>
            </w:r>
          </w:p>
        </w:tc>
        <w:tc>
          <w:tcPr>
            <w:tcW w:w="1043" w:type="dxa"/>
            <w:tcBorders>
              <w:top w:val="nil"/>
              <w:left w:val="nil"/>
              <w:bottom w:val="single" w:sz="8" w:space="0" w:color="BCD6EE"/>
              <w:right w:val="single" w:sz="8" w:space="0" w:color="BCD6EE"/>
            </w:tcBorders>
            <w:shd w:val="clear" w:color="auto" w:fill="auto"/>
            <w:vAlign w:val="center"/>
          </w:tcPr>
          <w:p w14:paraId="410E543D"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28,4%</w:t>
            </w:r>
          </w:p>
        </w:tc>
        <w:tc>
          <w:tcPr>
            <w:tcW w:w="1023" w:type="dxa"/>
            <w:tcBorders>
              <w:top w:val="nil"/>
              <w:left w:val="nil"/>
              <w:bottom w:val="single" w:sz="8" w:space="0" w:color="BCD6EE"/>
              <w:right w:val="single" w:sz="8" w:space="0" w:color="BCD6EE"/>
            </w:tcBorders>
            <w:shd w:val="clear" w:color="auto" w:fill="auto"/>
            <w:vAlign w:val="center"/>
          </w:tcPr>
          <w:p w14:paraId="5DC27D6D"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29,0%</w:t>
            </w:r>
          </w:p>
        </w:tc>
        <w:tc>
          <w:tcPr>
            <w:tcW w:w="1049" w:type="dxa"/>
            <w:tcBorders>
              <w:top w:val="nil"/>
              <w:left w:val="nil"/>
              <w:bottom w:val="single" w:sz="8" w:space="0" w:color="BCD6EE"/>
              <w:right w:val="single" w:sz="8" w:space="0" w:color="BCD6EE"/>
            </w:tcBorders>
            <w:shd w:val="clear" w:color="auto" w:fill="auto"/>
            <w:vAlign w:val="center"/>
          </w:tcPr>
          <w:p w14:paraId="0952B390"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28,30%</w:t>
            </w:r>
          </w:p>
        </w:tc>
        <w:tc>
          <w:tcPr>
            <w:tcW w:w="914" w:type="dxa"/>
            <w:tcBorders>
              <w:top w:val="nil"/>
              <w:left w:val="nil"/>
              <w:bottom w:val="single" w:sz="8" w:space="0" w:color="BCD6EE"/>
              <w:right w:val="single" w:sz="8" w:space="0" w:color="BCD6EE"/>
            </w:tcBorders>
            <w:vAlign w:val="center"/>
          </w:tcPr>
          <w:p w14:paraId="44BF638B"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28,30%</w:t>
            </w:r>
          </w:p>
        </w:tc>
      </w:tr>
      <w:tr w:rsidR="00E440CE" w:rsidRPr="00ED7B99" w14:paraId="0D7E5D2E"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1A1B1F31"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Hercegovačko- neretvanski</w:t>
            </w:r>
          </w:p>
        </w:tc>
        <w:tc>
          <w:tcPr>
            <w:tcW w:w="1047" w:type="dxa"/>
            <w:tcBorders>
              <w:top w:val="nil"/>
              <w:left w:val="nil"/>
              <w:bottom w:val="single" w:sz="8" w:space="0" w:color="BCD6EE"/>
              <w:right w:val="single" w:sz="8" w:space="0" w:color="BCD6EE"/>
            </w:tcBorders>
            <w:shd w:val="clear" w:color="auto" w:fill="auto"/>
            <w:vAlign w:val="center"/>
          </w:tcPr>
          <w:p w14:paraId="1D885DDD"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31,8%</w:t>
            </w:r>
          </w:p>
        </w:tc>
        <w:tc>
          <w:tcPr>
            <w:tcW w:w="1160" w:type="dxa"/>
            <w:tcBorders>
              <w:top w:val="nil"/>
              <w:left w:val="nil"/>
              <w:bottom w:val="single" w:sz="8" w:space="0" w:color="BCD6EE"/>
              <w:right w:val="single" w:sz="8" w:space="0" w:color="BCD6EE"/>
            </w:tcBorders>
            <w:shd w:val="clear" w:color="auto" w:fill="auto"/>
            <w:vAlign w:val="center"/>
          </w:tcPr>
          <w:p w14:paraId="1385B091"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35,0%</w:t>
            </w:r>
          </w:p>
        </w:tc>
        <w:tc>
          <w:tcPr>
            <w:tcW w:w="1043" w:type="dxa"/>
            <w:tcBorders>
              <w:top w:val="nil"/>
              <w:left w:val="nil"/>
              <w:bottom w:val="single" w:sz="8" w:space="0" w:color="BCD6EE"/>
              <w:right w:val="single" w:sz="8" w:space="0" w:color="BCD6EE"/>
            </w:tcBorders>
            <w:shd w:val="clear" w:color="auto" w:fill="auto"/>
            <w:vAlign w:val="center"/>
          </w:tcPr>
          <w:p w14:paraId="0AD376E2"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36,2%</w:t>
            </w:r>
          </w:p>
        </w:tc>
        <w:tc>
          <w:tcPr>
            <w:tcW w:w="1023" w:type="dxa"/>
            <w:tcBorders>
              <w:top w:val="nil"/>
              <w:left w:val="nil"/>
              <w:bottom w:val="single" w:sz="8" w:space="0" w:color="BCD6EE"/>
              <w:right w:val="single" w:sz="8" w:space="0" w:color="BCD6EE"/>
            </w:tcBorders>
            <w:shd w:val="clear" w:color="auto" w:fill="auto"/>
            <w:vAlign w:val="center"/>
          </w:tcPr>
          <w:p w14:paraId="6D846529"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37,2%</w:t>
            </w:r>
          </w:p>
        </w:tc>
        <w:tc>
          <w:tcPr>
            <w:tcW w:w="1049" w:type="dxa"/>
            <w:tcBorders>
              <w:top w:val="nil"/>
              <w:left w:val="nil"/>
              <w:bottom w:val="single" w:sz="8" w:space="0" w:color="BCD6EE"/>
              <w:right w:val="single" w:sz="8" w:space="0" w:color="BCD6EE"/>
            </w:tcBorders>
            <w:shd w:val="clear" w:color="auto" w:fill="auto"/>
            <w:vAlign w:val="center"/>
          </w:tcPr>
          <w:p w14:paraId="0B29C46B"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35,60%</w:t>
            </w:r>
          </w:p>
        </w:tc>
        <w:tc>
          <w:tcPr>
            <w:tcW w:w="914" w:type="dxa"/>
            <w:tcBorders>
              <w:top w:val="nil"/>
              <w:left w:val="nil"/>
              <w:bottom w:val="single" w:sz="8" w:space="0" w:color="BCD6EE"/>
              <w:right w:val="single" w:sz="8" w:space="0" w:color="BCD6EE"/>
            </w:tcBorders>
          </w:tcPr>
          <w:p w14:paraId="5C60ED59"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36,20%</w:t>
            </w:r>
          </w:p>
        </w:tc>
      </w:tr>
      <w:tr w:rsidR="00E440CE" w:rsidRPr="00ED7B99" w14:paraId="2563951E"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43C96C20"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Zapadnohercegovački</w:t>
            </w:r>
          </w:p>
        </w:tc>
        <w:tc>
          <w:tcPr>
            <w:tcW w:w="1047" w:type="dxa"/>
            <w:tcBorders>
              <w:top w:val="nil"/>
              <w:left w:val="nil"/>
              <w:bottom w:val="single" w:sz="8" w:space="0" w:color="BCD6EE"/>
              <w:right w:val="single" w:sz="8" w:space="0" w:color="BCD6EE"/>
            </w:tcBorders>
            <w:shd w:val="clear" w:color="auto" w:fill="auto"/>
            <w:vAlign w:val="center"/>
          </w:tcPr>
          <w:p w14:paraId="2145ED3B"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28,4%</w:t>
            </w:r>
          </w:p>
        </w:tc>
        <w:tc>
          <w:tcPr>
            <w:tcW w:w="1160" w:type="dxa"/>
            <w:tcBorders>
              <w:top w:val="nil"/>
              <w:left w:val="nil"/>
              <w:bottom w:val="single" w:sz="8" w:space="0" w:color="BCD6EE"/>
              <w:right w:val="single" w:sz="8" w:space="0" w:color="BCD6EE"/>
            </w:tcBorders>
            <w:shd w:val="clear" w:color="auto" w:fill="auto"/>
            <w:vAlign w:val="center"/>
          </w:tcPr>
          <w:p w14:paraId="12AAAF9A"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28,8%</w:t>
            </w:r>
          </w:p>
        </w:tc>
        <w:tc>
          <w:tcPr>
            <w:tcW w:w="1043" w:type="dxa"/>
            <w:tcBorders>
              <w:top w:val="nil"/>
              <w:left w:val="nil"/>
              <w:bottom w:val="single" w:sz="8" w:space="0" w:color="BCD6EE"/>
              <w:right w:val="single" w:sz="8" w:space="0" w:color="BCD6EE"/>
            </w:tcBorders>
            <w:shd w:val="clear" w:color="auto" w:fill="auto"/>
            <w:vAlign w:val="center"/>
          </w:tcPr>
          <w:p w14:paraId="391F5F24"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30,1%</w:t>
            </w:r>
          </w:p>
        </w:tc>
        <w:tc>
          <w:tcPr>
            <w:tcW w:w="1023" w:type="dxa"/>
            <w:tcBorders>
              <w:top w:val="nil"/>
              <w:left w:val="nil"/>
              <w:bottom w:val="single" w:sz="8" w:space="0" w:color="BCD6EE"/>
              <w:right w:val="single" w:sz="8" w:space="0" w:color="BCD6EE"/>
            </w:tcBorders>
            <w:shd w:val="clear" w:color="auto" w:fill="auto"/>
            <w:vAlign w:val="center"/>
          </w:tcPr>
          <w:p w14:paraId="0391CAC3"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31,2%</w:t>
            </w:r>
          </w:p>
        </w:tc>
        <w:tc>
          <w:tcPr>
            <w:tcW w:w="1049" w:type="dxa"/>
            <w:tcBorders>
              <w:top w:val="nil"/>
              <w:left w:val="nil"/>
              <w:bottom w:val="single" w:sz="8" w:space="0" w:color="BCD6EE"/>
              <w:right w:val="single" w:sz="8" w:space="0" w:color="BCD6EE"/>
            </w:tcBorders>
            <w:shd w:val="clear" w:color="auto" w:fill="auto"/>
            <w:vAlign w:val="center"/>
          </w:tcPr>
          <w:p w14:paraId="0B1C56C9"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31,40%</w:t>
            </w:r>
          </w:p>
        </w:tc>
        <w:tc>
          <w:tcPr>
            <w:tcW w:w="914" w:type="dxa"/>
            <w:tcBorders>
              <w:top w:val="nil"/>
              <w:left w:val="nil"/>
              <w:bottom w:val="single" w:sz="8" w:space="0" w:color="BCD6EE"/>
              <w:right w:val="single" w:sz="8" w:space="0" w:color="BCD6EE"/>
            </w:tcBorders>
          </w:tcPr>
          <w:p w14:paraId="593A1C7C"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31,40%</w:t>
            </w:r>
          </w:p>
        </w:tc>
      </w:tr>
      <w:tr w:rsidR="00E440CE" w:rsidRPr="00ED7B99" w14:paraId="7E5896C0"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785C7217"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Sarajevo</w:t>
            </w:r>
          </w:p>
        </w:tc>
        <w:tc>
          <w:tcPr>
            <w:tcW w:w="1047" w:type="dxa"/>
            <w:tcBorders>
              <w:top w:val="nil"/>
              <w:left w:val="nil"/>
              <w:bottom w:val="single" w:sz="8" w:space="0" w:color="BCD6EE"/>
              <w:right w:val="single" w:sz="8" w:space="0" w:color="BCD6EE"/>
            </w:tcBorders>
            <w:shd w:val="clear" w:color="auto" w:fill="auto"/>
            <w:vAlign w:val="center"/>
          </w:tcPr>
          <w:p w14:paraId="0D91E687"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44,0%</w:t>
            </w:r>
          </w:p>
        </w:tc>
        <w:tc>
          <w:tcPr>
            <w:tcW w:w="1160" w:type="dxa"/>
            <w:tcBorders>
              <w:top w:val="nil"/>
              <w:left w:val="nil"/>
              <w:bottom w:val="single" w:sz="8" w:space="0" w:color="BCD6EE"/>
              <w:right w:val="single" w:sz="8" w:space="0" w:color="BCD6EE"/>
            </w:tcBorders>
            <w:shd w:val="clear" w:color="auto" w:fill="auto"/>
            <w:vAlign w:val="center"/>
          </w:tcPr>
          <w:p w14:paraId="31457A6C"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50,1%</w:t>
            </w:r>
          </w:p>
        </w:tc>
        <w:tc>
          <w:tcPr>
            <w:tcW w:w="1043" w:type="dxa"/>
            <w:tcBorders>
              <w:top w:val="nil"/>
              <w:left w:val="nil"/>
              <w:bottom w:val="single" w:sz="8" w:space="0" w:color="BCD6EE"/>
              <w:right w:val="single" w:sz="8" w:space="0" w:color="BCD6EE"/>
            </w:tcBorders>
            <w:shd w:val="clear" w:color="auto" w:fill="auto"/>
            <w:vAlign w:val="center"/>
          </w:tcPr>
          <w:p w14:paraId="51764F9C"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51,7%</w:t>
            </w:r>
          </w:p>
        </w:tc>
        <w:tc>
          <w:tcPr>
            <w:tcW w:w="1023" w:type="dxa"/>
            <w:tcBorders>
              <w:top w:val="nil"/>
              <w:left w:val="nil"/>
              <w:bottom w:val="single" w:sz="8" w:space="0" w:color="BCD6EE"/>
              <w:right w:val="single" w:sz="8" w:space="0" w:color="BCD6EE"/>
            </w:tcBorders>
            <w:shd w:val="clear" w:color="auto" w:fill="auto"/>
            <w:vAlign w:val="center"/>
          </w:tcPr>
          <w:p w14:paraId="42D8ED5C"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53,6%</w:t>
            </w:r>
          </w:p>
        </w:tc>
        <w:tc>
          <w:tcPr>
            <w:tcW w:w="1049" w:type="dxa"/>
            <w:tcBorders>
              <w:top w:val="nil"/>
              <w:left w:val="nil"/>
              <w:bottom w:val="single" w:sz="8" w:space="0" w:color="BCD6EE"/>
              <w:right w:val="single" w:sz="8" w:space="0" w:color="BCD6EE"/>
            </w:tcBorders>
            <w:shd w:val="clear" w:color="auto" w:fill="auto"/>
            <w:vAlign w:val="center"/>
          </w:tcPr>
          <w:p w14:paraId="1716CC86"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53,30%</w:t>
            </w:r>
          </w:p>
        </w:tc>
        <w:tc>
          <w:tcPr>
            <w:tcW w:w="914" w:type="dxa"/>
            <w:tcBorders>
              <w:top w:val="nil"/>
              <w:left w:val="nil"/>
              <w:bottom w:val="single" w:sz="8" w:space="0" w:color="BCD6EE"/>
              <w:right w:val="single" w:sz="8" w:space="0" w:color="BCD6EE"/>
            </w:tcBorders>
          </w:tcPr>
          <w:p w14:paraId="60B0EBF2"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54,40%</w:t>
            </w:r>
          </w:p>
        </w:tc>
      </w:tr>
      <w:tr w:rsidR="00E440CE" w:rsidRPr="00ED7B99" w14:paraId="4C0D4DCE" w14:textId="77777777">
        <w:trPr>
          <w:trHeight w:val="315"/>
        </w:trPr>
        <w:tc>
          <w:tcPr>
            <w:tcW w:w="3010" w:type="dxa"/>
            <w:tcBorders>
              <w:top w:val="nil"/>
              <w:left w:val="single" w:sz="8" w:space="0" w:color="BCD6EE"/>
              <w:bottom w:val="single" w:sz="8" w:space="0" w:color="BCD6EE"/>
              <w:right w:val="single" w:sz="8" w:space="0" w:color="BCD6EE"/>
            </w:tcBorders>
            <w:shd w:val="clear" w:color="auto" w:fill="auto"/>
            <w:vAlign w:val="center"/>
          </w:tcPr>
          <w:p w14:paraId="279C3CE9"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Kanton 10</w:t>
            </w:r>
          </w:p>
        </w:tc>
        <w:tc>
          <w:tcPr>
            <w:tcW w:w="1047" w:type="dxa"/>
            <w:tcBorders>
              <w:top w:val="nil"/>
              <w:left w:val="nil"/>
              <w:bottom w:val="single" w:sz="8" w:space="0" w:color="BCD6EE"/>
              <w:right w:val="single" w:sz="8" w:space="0" w:color="BCD6EE"/>
            </w:tcBorders>
            <w:shd w:val="clear" w:color="auto" w:fill="auto"/>
            <w:vAlign w:val="center"/>
          </w:tcPr>
          <w:p w14:paraId="2FD9858C"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16,8%</w:t>
            </w:r>
          </w:p>
        </w:tc>
        <w:tc>
          <w:tcPr>
            <w:tcW w:w="1160" w:type="dxa"/>
            <w:tcBorders>
              <w:top w:val="nil"/>
              <w:left w:val="nil"/>
              <w:bottom w:val="single" w:sz="8" w:space="0" w:color="BCD6EE"/>
              <w:right w:val="single" w:sz="8" w:space="0" w:color="BCD6EE"/>
            </w:tcBorders>
            <w:shd w:val="clear" w:color="auto" w:fill="auto"/>
            <w:vAlign w:val="center"/>
          </w:tcPr>
          <w:p w14:paraId="46E5099A"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18,2%</w:t>
            </w:r>
          </w:p>
        </w:tc>
        <w:tc>
          <w:tcPr>
            <w:tcW w:w="1043" w:type="dxa"/>
            <w:tcBorders>
              <w:top w:val="nil"/>
              <w:left w:val="nil"/>
              <w:bottom w:val="single" w:sz="8" w:space="0" w:color="BCD6EE"/>
              <w:right w:val="single" w:sz="8" w:space="0" w:color="BCD6EE"/>
            </w:tcBorders>
            <w:shd w:val="clear" w:color="auto" w:fill="auto"/>
            <w:vAlign w:val="center"/>
          </w:tcPr>
          <w:p w14:paraId="5BAE2632"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19,4%</w:t>
            </w:r>
          </w:p>
        </w:tc>
        <w:tc>
          <w:tcPr>
            <w:tcW w:w="1023" w:type="dxa"/>
            <w:tcBorders>
              <w:top w:val="nil"/>
              <w:left w:val="nil"/>
              <w:bottom w:val="single" w:sz="8" w:space="0" w:color="BCD6EE"/>
              <w:right w:val="single" w:sz="8" w:space="0" w:color="BCD6EE"/>
            </w:tcBorders>
            <w:shd w:val="clear" w:color="auto" w:fill="auto"/>
            <w:vAlign w:val="center"/>
          </w:tcPr>
          <w:p w14:paraId="42FC306B"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19,9%</w:t>
            </w:r>
          </w:p>
        </w:tc>
        <w:tc>
          <w:tcPr>
            <w:tcW w:w="1049" w:type="dxa"/>
            <w:tcBorders>
              <w:top w:val="nil"/>
              <w:left w:val="nil"/>
              <w:bottom w:val="single" w:sz="8" w:space="0" w:color="BCD6EE"/>
              <w:right w:val="single" w:sz="8" w:space="0" w:color="BCD6EE"/>
            </w:tcBorders>
            <w:shd w:val="clear" w:color="auto" w:fill="auto"/>
            <w:vAlign w:val="center"/>
          </w:tcPr>
          <w:p w14:paraId="5FDA540F"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20,00%</w:t>
            </w:r>
          </w:p>
        </w:tc>
        <w:tc>
          <w:tcPr>
            <w:tcW w:w="914" w:type="dxa"/>
            <w:tcBorders>
              <w:top w:val="nil"/>
              <w:left w:val="nil"/>
              <w:bottom w:val="single" w:sz="8" w:space="0" w:color="BCD6EE"/>
              <w:right w:val="single" w:sz="8" w:space="0" w:color="BCD6EE"/>
            </w:tcBorders>
          </w:tcPr>
          <w:p w14:paraId="55D79F76" w14:textId="77777777" w:rsidR="00E440CE" w:rsidRPr="00ED7B99" w:rsidRDefault="003422A9">
            <w:pPr>
              <w:spacing w:after="0" w:line="240" w:lineRule="auto"/>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20,40%</w:t>
            </w:r>
          </w:p>
        </w:tc>
      </w:tr>
      <w:tr w:rsidR="00E440CE" w:rsidRPr="00ED7B99" w14:paraId="64AA8BDF" w14:textId="77777777" w:rsidTr="00683004">
        <w:trPr>
          <w:trHeight w:val="315"/>
        </w:trPr>
        <w:tc>
          <w:tcPr>
            <w:tcW w:w="3010"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356EACCE" w14:textId="77777777" w:rsidR="00E440CE" w:rsidRPr="00ED7B99" w:rsidRDefault="003422A9">
            <w:pPr>
              <w:spacing w:after="0" w:line="240" w:lineRule="auto"/>
              <w:rPr>
                <w:rFonts w:asciiTheme="majorHAnsi" w:hAnsiTheme="majorHAnsi" w:cstheme="majorHAnsi"/>
                <w:b/>
                <w:color w:val="000000"/>
                <w:sz w:val="18"/>
                <w:szCs w:val="18"/>
              </w:rPr>
            </w:pPr>
            <w:r w:rsidRPr="00ED7B99">
              <w:rPr>
                <w:rFonts w:asciiTheme="majorHAnsi" w:hAnsiTheme="majorHAnsi" w:cstheme="majorHAnsi"/>
                <w:b/>
                <w:color w:val="000000"/>
                <w:sz w:val="18"/>
                <w:szCs w:val="18"/>
              </w:rPr>
              <w:lastRenderedPageBreak/>
              <w:t>Federacija BiH</w:t>
            </w:r>
          </w:p>
        </w:tc>
        <w:tc>
          <w:tcPr>
            <w:tcW w:w="1047" w:type="dxa"/>
            <w:tcBorders>
              <w:top w:val="nil"/>
              <w:left w:val="nil"/>
              <w:bottom w:val="single" w:sz="8" w:space="0" w:color="BCD6EE"/>
              <w:right w:val="single" w:sz="8" w:space="0" w:color="BCD6EE"/>
            </w:tcBorders>
            <w:shd w:val="clear" w:color="auto" w:fill="BCD9DE" w:themeFill="accent5" w:themeFillTint="66"/>
            <w:vAlign w:val="center"/>
          </w:tcPr>
          <w:p w14:paraId="71E833EC"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29,40%</w:t>
            </w:r>
          </w:p>
        </w:tc>
        <w:tc>
          <w:tcPr>
            <w:tcW w:w="1160" w:type="dxa"/>
            <w:tcBorders>
              <w:top w:val="nil"/>
              <w:left w:val="nil"/>
              <w:bottom w:val="single" w:sz="8" w:space="0" w:color="BCD6EE"/>
              <w:right w:val="single" w:sz="8" w:space="0" w:color="BCD6EE"/>
            </w:tcBorders>
            <w:shd w:val="clear" w:color="auto" w:fill="BCD9DE" w:themeFill="accent5" w:themeFillTint="66"/>
            <w:vAlign w:val="center"/>
          </w:tcPr>
          <w:p w14:paraId="741CE3CF"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32,60%</w:t>
            </w:r>
          </w:p>
        </w:tc>
        <w:tc>
          <w:tcPr>
            <w:tcW w:w="1043" w:type="dxa"/>
            <w:tcBorders>
              <w:top w:val="nil"/>
              <w:left w:val="nil"/>
              <w:bottom w:val="single" w:sz="8" w:space="0" w:color="BCD6EE"/>
              <w:right w:val="single" w:sz="8" w:space="0" w:color="BCD6EE"/>
            </w:tcBorders>
            <w:shd w:val="clear" w:color="auto" w:fill="BCD9DE" w:themeFill="accent5" w:themeFillTint="66"/>
            <w:vAlign w:val="center"/>
          </w:tcPr>
          <w:p w14:paraId="135C7ECD"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33,80%</w:t>
            </w:r>
          </w:p>
        </w:tc>
        <w:tc>
          <w:tcPr>
            <w:tcW w:w="1023" w:type="dxa"/>
            <w:tcBorders>
              <w:top w:val="nil"/>
              <w:left w:val="nil"/>
              <w:bottom w:val="single" w:sz="8" w:space="0" w:color="BCD6EE"/>
              <w:right w:val="single" w:sz="8" w:space="0" w:color="BCD6EE"/>
            </w:tcBorders>
            <w:shd w:val="clear" w:color="auto" w:fill="BCD9DE" w:themeFill="accent5" w:themeFillTint="66"/>
            <w:vAlign w:val="center"/>
          </w:tcPr>
          <w:p w14:paraId="5E794906"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34,8%</w:t>
            </w:r>
          </w:p>
        </w:tc>
        <w:tc>
          <w:tcPr>
            <w:tcW w:w="1049" w:type="dxa"/>
            <w:tcBorders>
              <w:top w:val="nil"/>
              <w:left w:val="nil"/>
              <w:bottom w:val="single" w:sz="8" w:space="0" w:color="BCD6EE"/>
              <w:right w:val="single" w:sz="8" w:space="0" w:color="BCD6EE"/>
            </w:tcBorders>
            <w:shd w:val="clear" w:color="auto" w:fill="BCD9DE" w:themeFill="accent5" w:themeFillTint="66"/>
            <w:vAlign w:val="center"/>
          </w:tcPr>
          <w:p w14:paraId="6DF3611D"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34,40%</w:t>
            </w:r>
          </w:p>
        </w:tc>
        <w:tc>
          <w:tcPr>
            <w:tcW w:w="914" w:type="dxa"/>
            <w:tcBorders>
              <w:top w:val="nil"/>
              <w:left w:val="nil"/>
              <w:bottom w:val="single" w:sz="8" w:space="0" w:color="BCD6EE"/>
              <w:right w:val="single" w:sz="8" w:space="0" w:color="BCD6EE"/>
            </w:tcBorders>
            <w:shd w:val="clear" w:color="auto" w:fill="BCD9DE" w:themeFill="accent5" w:themeFillTint="66"/>
          </w:tcPr>
          <w:p w14:paraId="2CE191FE" w14:textId="77777777" w:rsidR="00E440CE" w:rsidRPr="00ED7B99" w:rsidRDefault="003422A9">
            <w:pPr>
              <w:spacing w:after="0" w:line="240" w:lineRule="auto"/>
              <w:jc w:val="center"/>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35,0%</w:t>
            </w:r>
          </w:p>
        </w:tc>
      </w:tr>
    </w:tbl>
    <w:p w14:paraId="7DC4D89A" w14:textId="77777777" w:rsidR="00E440CE" w:rsidRPr="00ED7B99" w:rsidRDefault="003422A9">
      <w:pPr>
        <w:rPr>
          <w:rFonts w:asciiTheme="majorHAnsi" w:hAnsiTheme="majorHAnsi" w:cstheme="majorHAnsi"/>
          <w:i/>
          <w:sz w:val="20"/>
          <w:szCs w:val="20"/>
        </w:rPr>
      </w:pPr>
      <w:r w:rsidRPr="00ED7B99">
        <w:rPr>
          <w:rFonts w:asciiTheme="majorHAnsi" w:hAnsiTheme="majorHAnsi" w:cstheme="majorHAnsi"/>
          <w:i/>
          <w:sz w:val="20"/>
          <w:szCs w:val="20"/>
        </w:rPr>
        <w:t xml:space="preserve">Izvor podataka: Federalni zavod za programiranje podataka, Makroekonomski pokazatelji po kantonima </w:t>
      </w:r>
    </w:p>
    <w:p w14:paraId="03B6900C" w14:textId="77777777" w:rsidR="00E440CE" w:rsidRPr="00ED7B99" w:rsidRDefault="00E440CE">
      <w:pPr>
        <w:rPr>
          <w:rFonts w:asciiTheme="majorHAnsi" w:hAnsiTheme="majorHAnsi" w:cstheme="majorHAnsi"/>
          <w:i/>
          <w:sz w:val="20"/>
          <w:szCs w:val="20"/>
        </w:rPr>
      </w:pPr>
    </w:p>
    <w:p w14:paraId="0DC0D8D4" w14:textId="2D25C44D" w:rsidR="00E440CE" w:rsidRPr="00ED7B99" w:rsidRDefault="004C0398" w:rsidP="004C0398">
      <w:pPr>
        <w:pStyle w:val="Heading3"/>
        <w:rPr>
          <w:rFonts w:asciiTheme="majorHAnsi" w:hAnsiTheme="majorHAnsi" w:cstheme="majorHAnsi"/>
        </w:rPr>
      </w:pPr>
      <w:bookmarkStart w:id="5" w:name="_Toc117458911"/>
      <w:r w:rsidRPr="00ED7B99">
        <w:rPr>
          <w:rFonts w:asciiTheme="majorHAnsi" w:hAnsiTheme="majorHAnsi" w:cstheme="majorHAnsi"/>
        </w:rPr>
        <w:t xml:space="preserve">2.1.3. </w:t>
      </w:r>
      <w:r w:rsidR="003422A9" w:rsidRPr="00ED7B99">
        <w:rPr>
          <w:rFonts w:asciiTheme="majorHAnsi" w:hAnsiTheme="majorHAnsi" w:cstheme="majorHAnsi"/>
        </w:rPr>
        <w:t>Struktura male privrede Federacije BiH</w:t>
      </w:r>
      <w:bookmarkEnd w:id="5"/>
    </w:p>
    <w:p w14:paraId="407E37C1" w14:textId="452DCB24" w:rsidR="00637429" w:rsidRDefault="00637429" w:rsidP="00942633">
      <w:pPr>
        <w:jc w:val="both"/>
        <w:rPr>
          <w:rFonts w:asciiTheme="majorHAnsi" w:hAnsiTheme="majorHAnsi" w:cstheme="majorHAnsi"/>
        </w:rPr>
      </w:pPr>
      <w:r>
        <w:rPr>
          <w:rFonts w:asciiTheme="majorHAnsi" w:hAnsiTheme="majorHAnsi" w:cstheme="majorHAnsi"/>
        </w:rPr>
        <w:br/>
      </w:r>
      <w:r w:rsidR="00942633" w:rsidRPr="00ED7B99">
        <w:rPr>
          <w:rFonts w:asciiTheme="majorHAnsi" w:hAnsiTheme="majorHAnsi" w:cstheme="majorHAnsi"/>
        </w:rPr>
        <w:t>Prema podacima iz BISNODE baze podataka zasnovane na podacima Finansijsko informatičke agencije (FIA) (Agencije za finansijske, informatičke i posredničke usluge prije osnivanja FIA)</w:t>
      </w:r>
      <w:r w:rsidR="009C4F55">
        <w:rPr>
          <w:rFonts w:asciiTheme="majorHAnsi" w:hAnsiTheme="majorHAnsi" w:cstheme="majorHAnsi"/>
        </w:rPr>
        <w:t xml:space="preserve">, </w:t>
      </w:r>
      <w:r w:rsidR="009C4F55" w:rsidRPr="009C4F55">
        <w:rPr>
          <w:rFonts w:asciiTheme="majorHAnsi" w:hAnsiTheme="majorHAnsi" w:cstheme="majorHAnsi"/>
        </w:rPr>
        <w:t xml:space="preserve">Agencija za posredničke, informatičke i finansijske usluge Republike Srpske  </w:t>
      </w:r>
      <w:r w:rsidR="00942633" w:rsidRPr="00ED7B99">
        <w:rPr>
          <w:rFonts w:asciiTheme="majorHAnsi" w:hAnsiTheme="majorHAnsi" w:cstheme="majorHAnsi"/>
        </w:rPr>
        <w:t>od privrednih subjekata koji su predali završne finansijske izvještaje</w:t>
      </w:r>
      <w:r w:rsidR="009C4F55">
        <w:rPr>
          <w:rFonts w:asciiTheme="majorHAnsi" w:hAnsiTheme="majorHAnsi" w:cstheme="majorHAnsi"/>
        </w:rPr>
        <w:t xml:space="preserve"> na području Bosne i Hercegovine u 2021. godini aktivno su poslovala </w:t>
      </w:r>
      <w:r w:rsidR="009C4F55" w:rsidRPr="009C4F55">
        <w:rPr>
          <w:rFonts w:asciiTheme="majorHAnsi" w:hAnsiTheme="majorHAnsi" w:cstheme="majorHAnsi"/>
        </w:rPr>
        <w:t xml:space="preserve">35.404 privredna subjekta i taj broj se kontinuirao povećavao od 2018. godine (Tabela 10). </w:t>
      </w:r>
    </w:p>
    <w:p w14:paraId="7485DA22" w14:textId="3251E175" w:rsidR="00ED7B99" w:rsidRDefault="00ED7B99" w:rsidP="00ED7B99">
      <w:pPr>
        <w:pStyle w:val="Caption"/>
        <w:keepNext/>
      </w:pPr>
      <w:r>
        <w:t xml:space="preserve">Tabela </w:t>
      </w:r>
      <w:fldSimple w:instr=" SEQ Tabela \* ARABIC ">
        <w:r w:rsidR="006A3335">
          <w:rPr>
            <w:noProof/>
          </w:rPr>
          <w:t>10</w:t>
        </w:r>
      </w:fldSimple>
      <w:r>
        <w:t>. Pregled broja subjekata male privrede FBiH, te privrednih subjekata</w:t>
      </w:r>
      <w:r w:rsidR="009C4F55">
        <w:t xml:space="preserve"> BiH,</w:t>
      </w:r>
      <w:r>
        <w:t xml:space="preserve"> RS i BD BiH u periodu 2016. -2021. godina</w:t>
      </w:r>
    </w:p>
    <w:tbl>
      <w:tblPr>
        <w:tblW w:w="10120" w:type="dxa"/>
        <w:jc w:val="center"/>
        <w:tblLook w:val="04A0" w:firstRow="1" w:lastRow="0" w:firstColumn="1" w:lastColumn="0" w:noHBand="0" w:noVBand="1"/>
      </w:tblPr>
      <w:tblGrid>
        <w:gridCol w:w="2972"/>
        <w:gridCol w:w="819"/>
        <w:gridCol w:w="819"/>
        <w:gridCol w:w="819"/>
        <w:gridCol w:w="819"/>
        <w:gridCol w:w="960"/>
        <w:gridCol w:w="960"/>
        <w:gridCol w:w="960"/>
        <w:gridCol w:w="960"/>
        <w:gridCol w:w="32"/>
      </w:tblGrid>
      <w:tr w:rsidR="00DC6AAD" w:rsidRPr="00ED7B99" w14:paraId="418508A0" w14:textId="77777777" w:rsidTr="00683004">
        <w:trPr>
          <w:trHeight w:val="315"/>
          <w:jc w:val="center"/>
        </w:trPr>
        <w:tc>
          <w:tcPr>
            <w:tcW w:w="10120" w:type="dxa"/>
            <w:gridSpan w:val="10"/>
            <w:tcBorders>
              <w:top w:val="single" w:sz="4" w:space="0" w:color="auto"/>
              <w:left w:val="single" w:sz="4" w:space="0" w:color="auto"/>
              <w:bottom w:val="single" w:sz="4" w:space="0" w:color="auto"/>
              <w:right w:val="single" w:sz="4" w:space="0" w:color="auto"/>
            </w:tcBorders>
            <w:shd w:val="clear" w:color="auto" w:fill="BCD9DE" w:themeFill="accent5" w:themeFillTint="66"/>
            <w:vAlign w:val="center"/>
            <w:hideMark/>
          </w:tcPr>
          <w:p w14:paraId="6235B59C"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 xml:space="preserve">Ukupno subjekata male privrede </w:t>
            </w:r>
          </w:p>
        </w:tc>
      </w:tr>
      <w:tr w:rsidR="00DC6AAD" w:rsidRPr="00ED7B99" w14:paraId="3DCDA4A4"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000000" w:fill="DEEAF6"/>
            <w:hideMark/>
          </w:tcPr>
          <w:p w14:paraId="27A8ABA2"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w:t>
            </w:r>
          </w:p>
        </w:tc>
        <w:tc>
          <w:tcPr>
            <w:tcW w:w="819" w:type="dxa"/>
            <w:tcBorders>
              <w:top w:val="nil"/>
              <w:left w:val="nil"/>
              <w:bottom w:val="single" w:sz="4" w:space="0" w:color="auto"/>
              <w:right w:val="single" w:sz="4" w:space="0" w:color="auto"/>
            </w:tcBorders>
            <w:shd w:val="clear" w:color="000000" w:fill="DEEAF6"/>
            <w:vAlign w:val="center"/>
            <w:hideMark/>
          </w:tcPr>
          <w:p w14:paraId="0CCD2099"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2018</w:t>
            </w:r>
          </w:p>
        </w:tc>
        <w:tc>
          <w:tcPr>
            <w:tcW w:w="819" w:type="dxa"/>
            <w:tcBorders>
              <w:top w:val="nil"/>
              <w:left w:val="nil"/>
              <w:bottom w:val="single" w:sz="4" w:space="0" w:color="auto"/>
              <w:right w:val="single" w:sz="4" w:space="0" w:color="auto"/>
            </w:tcBorders>
            <w:shd w:val="clear" w:color="000000" w:fill="DEEAF6"/>
            <w:vAlign w:val="center"/>
            <w:hideMark/>
          </w:tcPr>
          <w:p w14:paraId="346850A5"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2019</w:t>
            </w:r>
          </w:p>
        </w:tc>
        <w:tc>
          <w:tcPr>
            <w:tcW w:w="819" w:type="dxa"/>
            <w:tcBorders>
              <w:top w:val="nil"/>
              <w:left w:val="nil"/>
              <w:bottom w:val="single" w:sz="4" w:space="0" w:color="auto"/>
              <w:right w:val="single" w:sz="4" w:space="0" w:color="auto"/>
            </w:tcBorders>
            <w:shd w:val="clear" w:color="000000" w:fill="DEEAF6"/>
            <w:vAlign w:val="center"/>
            <w:hideMark/>
          </w:tcPr>
          <w:p w14:paraId="20EA9339"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2020</w:t>
            </w:r>
          </w:p>
        </w:tc>
        <w:tc>
          <w:tcPr>
            <w:tcW w:w="819" w:type="dxa"/>
            <w:tcBorders>
              <w:top w:val="nil"/>
              <w:left w:val="nil"/>
              <w:bottom w:val="single" w:sz="4" w:space="0" w:color="auto"/>
              <w:right w:val="single" w:sz="4" w:space="0" w:color="auto"/>
            </w:tcBorders>
            <w:shd w:val="clear" w:color="000000" w:fill="DEEAF6"/>
            <w:vAlign w:val="center"/>
            <w:hideMark/>
          </w:tcPr>
          <w:p w14:paraId="621EBDE8"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2021</w:t>
            </w:r>
          </w:p>
        </w:tc>
        <w:tc>
          <w:tcPr>
            <w:tcW w:w="960" w:type="dxa"/>
            <w:tcBorders>
              <w:top w:val="nil"/>
              <w:left w:val="nil"/>
              <w:bottom w:val="single" w:sz="4" w:space="0" w:color="auto"/>
              <w:right w:val="single" w:sz="4" w:space="0" w:color="auto"/>
            </w:tcBorders>
            <w:shd w:val="clear" w:color="000000" w:fill="DEEAF6"/>
            <w:vAlign w:val="center"/>
            <w:hideMark/>
          </w:tcPr>
          <w:p w14:paraId="50686311"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2018</w:t>
            </w:r>
          </w:p>
        </w:tc>
        <w:tc>
          <w:tcPr>
            <w:tcW w:w="960" w:type="dxa"/>
            <w:tcBorders>
              <w:top w:val="nil"/>
              <w:left w:val="nil"/>
              <w:bottom w:val="single" w:sz="4" w:space="0" w:color="auto"/>
              <w:right w:val="single" w:sz="4" w:space="0" w:color="auto"/>
            </w:tcBorders>
            <w:shd w:val="clear" w:color="000000" w:fill="DEEAF6"/>
            <w:vAlign w:val="center"/>
            <w:hideMark/>
          </w:tcPr>
          <w:p w14:paraId="4FAD71B2"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2019</w:t>
            </w:r>
          </w:p>
        </w:tc>
        <w:tc>
          <w:tcPr>
            <w:tcW w:w="960" w:type="dxa"/>
            <w:tcBorders>
              <w:top w:val="nil"/>
              <w:left w:val="nil"/>
              <w:bottom w:val="single" w:sz="4" w:space="0" w:color="auto"/>
              <w:right w:val="single" w:sz="4" w:space="0" w:color="auto"/>
            </w:tcBorders>
            <w:shd w:val="clear" w:color="000000" w:fill="DEEAF6"/>
            <w:vAlign w:val="center"/>
            <w:hideMark/>
          </w:tcPr>
          <w:p w14:paraId="4BEF906E"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2020</w:t>
            </w:r>
          </w:p>
        </w:tc>
        <w:tc>
          <w:tcPr>
            <w:tcW w:w="960" w:type="dxa"/>
            <w:tcBorders>
              <w:top w:val="nil"/>
              <w:left w:val="nil"/>
              <w:bottom w:val="single" w:sz="4" w:space="0" w:color="auto"/>
              <w:right w:val="single" w:sz="4" w:space="0" w:color="auto"/>
            </w:tcBorders>
            <w:shd w:val="clear" w:color="000000" w:fill="DEEAF6"/>
            <w:vAlign w:val="center"/>
            <w:hideMark/>
          </w:tcPr>
          <w:p w14:paraId="4084B2D6"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2021</w:t>
            </w:r>
          </w:p>
        </w:tc>
      </w:tr>
      <w:tr w:rsidR="00ED7B99" w:rsidRPr="00ED7B99" w14:paraId="7C5EAD6C"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5320CCF" w14:textId="77777777" w:rsidR="00ED7B99" w:rsidRPr="00ED7B99" w:rsidRDefault="00ED7B99" w:rsidP="00ED7B99">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Federacija BIH - Mikro preduzeća</w:t>
            </w:r>
          </w:p>
        </w:tc>
        <w:tc>
          <w:tcPr>
            <w:tcW w:w="819" w:type="dxa"/>
            <w:tcBorders>
              <w:top w:val="nil"/>
              <w:left w:val="nil"/>
              <w:bottom w:val="single" w:sz="4" w:space="0" w:color="auto"/>
              <w:right w:val="single" w:sz="4" w:space="0" w:color="auto"/>
            </w:tcBorders>
            <w:shd w:val="clear" w:color="auto" w:fill="auto"/>
            <w:vAlign w:val="center"/>
            <w:hideMark/>
          </w:tcPr>
          <w:p w14:paraId="3C2223E3"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18.188</w:t>
            </w:r>
          </w:p>
        </w:tc>
        <w:tc>
          <w:tcPr>
            <w:tcW w:w="819" w:type="dxa"/>
            <w:tcBorders>
              <w:top w:val="nil"/>
              <w:left w:val="nil"/>
              <w:bottom w:val="single" w:sz="4" w:space="0" w:color="auto"/>
              <w:right w:val="single" w:sz="4" w:space="0" w:color="auto"/>
            </w:tcBorders>
            <w:shd w:val="clear" w:color="auto" w:fill="auto"/>
            <w:vAlign w:val="center"/>
            <w:hideMark/>
          </w:tcPr>
          <w:p w14:paraId="04C78845"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18.186</w:t>
            </w:r>
          </w:p>
        </w:tc>
        <w:tc>
          <w:tcPr>
            <w:tcW w:w="819" w:type="dxa"/>
            <w:tcBorders>
              <w:top w:val="nil"/>
              <w:left w:val="nil"/>
              <w:bottom w:val="single" w:sz="4" w:space="0" w:color="auto"/>
              <w:right w:val="single" w:sz="4" w:space="0" w:color="auto"/>
            </w:tcBorders>
            <w:shd w:val="clear" w:color="auto" w:fill="auto"/>
            <w:vAlign w:val="center"/>
            <w:hideMark/>
          </w:tcPr>
          <w:p w14:paraId="75C37982"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18.218</w:t>
            </w:r>
          </w:p>
        </w:tc>
        <w:tc>
          <w:tcPr>
            <w:tcW w:w="819" w:type="dxa"/>
            <w:tcBorders>
              <w:top w:val="nil"/>
              <w:left w:val="nil"/>
              <w:bottom w:val="single" w:sz="4" w:space="0" w:color="auto"/>
              <w:right w:val="single" w:sz="4" w:space="0" w:color="auto"/>
            </w:tcBorders>
            <w:shd w:val="clear" w:color="auto" w:fill="auto"/>
            <w:vAlign w:val="center"/>
            <w:hideMark/>
          </w:tcPr>
          <w:p w14:paraId="67196423"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18.990</w:t>
            </w:r>
          </w:p>
        </w:tc>
        <w:tc>
          <w:tcPr>
            <w:tcW w:w="960" w:type="dxa"/>
            <w:tcBorders>
              <w:top w:val="nil"/>
              <w:left w:val="nil"/>
              <w:bottom w:val="single" w:sz="4" w:space="0" w:color="auto"/>
              <w:right w:val="single" w:sz="4" w:space="0" w:color="auto"/>
            </w:tcBorders>
            <w:shd w:val="clear" w:color="auto" w:fill="auto"/>
            <w:noWrap/>
            <w:vAlign w:val="bottom"/>
          </w:tcPr>
          <w:p w14:paraId="542392EB" w14:textId="79B02FB3"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79</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59%</w:t>
            </w:r>
          </w:p>
        </w:tc>
        <w:tc>
          <w:tcPr>
            <w:tcW w:w="960" w:type="dxa"/>
            <w:tcBorders>
              <w:top w:val="nil"/>
              <w:left w:val="nil"/>
              <w:bottom w:val="single" w:sz="4" w:space="0" w:color="auto"/>
              <w:right w:val="single" w:sz="4" w:space="0" w:color="auto"/>
            </w:tcBorders>
            <w:shd w:val="clear" w:color="auto" w:fill="auto"/>
            <w:noWrap/>
            <w:vAlign w:val="bottom"/>
          </w:tcPr>
          <w:p w14:paraId="73C8130A" w14:textId="0D3B4166"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79</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07%</w:t>
            </w:r>
          </w:p>
        </w:tc>
        <w:tc>
          <w:tcPr>
            <w:tcW w:w="960" w:type="dxa"/>
            <w:tcBorders>
              <w:top w:val="nil"/>
              <w:left w:val="nil"/>
              <w:bottom w:val="single" w:sz="4" w:space="0" w:color="auto"/>
              <w:right w:val="single" w:sz="4" w:space="0" w:color="auto"/>
            </w:tcBorders>
            <w:shd w:val="clear" w:color="auto" w:fill="auto"/>
            <w:noWrap/>
            <w:vAlign w:val="bottom"/>
          </w:tcPr>
          <w:p w14:paraId="5D8F6662" w14:textId="3DE34052"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79</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84%</w:t>
            </w:r>
          </w:p>
        </w:tc>
        <w:tc>
          <w:tcPr>
            <w:tcW w:w="960" w:type="dxa"/>
            <w:tcBorders>
              <w:top w:val="nil"/>
              <w:left w:val="nil"/>
              <w:bottom w:val="single" w:sz="4" w:space="0" w:color="auto"/>
              <w:right w:val="single" w:sz="4" w:space="0" w:color="auto"/>
            </w:tcBorders>
            <w:shd w:val="clear" w:color="auto" w:fill="auto"/>
            <w:noWrap/>
            <w:vAlign w:val="bottom"/>
          </w:tcPr>
          <w:p w14:paraId="6157B243" w14:textId="4985476C"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79</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59%</w:t>
            </w:r>
          </w:p>
        </w:tc>
      </w:tr>
      <w:tr w:rsidR="00ED7B99" w:rsidRPr="00ED7B99" w14:paraId="60B22710"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72FF674" w14:textId="77777777" w:rsidR="00ED7B99" w:rsidRPr="00ED7B99" w:rsidRDefault="00ED7B99" w:rsidP="00ED7B99">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Federacija BIH - Mala preduzeća</w:t>
            </w:r>
          </w:p>
        </w:tc>
        <w:tc>
          <w:tcPr>
            <w:tcW w:w="819" w:type="dxa"/>
            <w:tcBorders>
              <w:top w:val="nil"/>
              <w:left w:val="nil"/>
              <w:bottom w:val="single" w:sz="4" w:space="0" w:color="auto"/>
              <w:right w:val="single" w:sz="4" w:space="0" w:color="auto"/>
            </w:tcBorders>
            <w:shd w:val="clear" w:color="auto" w:fill="auto"/>
            <w:vAlign w:val="center"/>
            <w:hideMark/>
          </w:tcPr>
          <w:p w14:paraId="660EA178"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3.745</w:t>
            </w:r>
          </w:p>
        </w:tc>
        <w:tc>
          <w:tcPr>
            <w:tcW w:w="819" w:type="dxa"/>
            <w:tcBorders>
              <w:top w:val="nil"/>
              <w:left w:val="nil"/>
              <w:bottom w:val="single" w:sz="4" w:space="0" w:color="auto"/>
              <w:right w:val="single" w:sz="4" w:space="0" w:color="auto"/>
            </w:tcBorders>
            <w:shd w:val="clear" w:color="auto" w:fill="auto"/>
            <w:vAlign w:val="center"/>
            <w:hideMark/>
          </w:tcPr>
          <w:p w14:paraId="5A5576EC"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3.858</w:t>
            </w:r>
          </w:p>
        </w:tc>
        <w:tc>
          <w:tcPr>
            <w:tcW w:w="819" w:type="dxa"/>
            <w:tcBorders>
              <w:top w:val="nil"/>
              <w:left w:val="nil"/>
              <w:bottom w:val="single" w:sz="4" w:space="0" w:color="auto"/>
              <w:right w:val="single" w:sz="4" w:space="0" w:color="auto"/>
            </w:tcBorders>
            <w:shd w:val="clear" w:color="auto" w:fill="auto"/>
            <w:vAlign w:val="center"/>
            <w:hideMark/>
          </w:tcPr>
          <w:p w14:paraId="1BC01F04"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3.680</w:t>
            </w:r>
          </w:p>
        </w:tc>
        <w:tc>
          <w:tcPr>
            <w:tcW w:w="819" w:type="dxa"/>
            <w:tcBorders>
              <w:top w:val="nil"/>
              <w:left w:val="nil"/>
              <w:bottom w:val="single" w:sz="4" w:space="0" w:color="auto"/>
              <w:right w:val="single" w:sz="4" w:space="0" w:color="auto"/>
            </w:tcBorders>
            <w:shd w:val="clear" w:color="auto" w:fill="auto"/>
            <w:vAlign w:val="center"/>
            <w:hideMark/>
          </w:tcPr>
          <w:p w14:paraId="3472A9C8"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3.630</w:t>
            </w:r>
          </w:p>
        </w:tc>
        <w:tc>
          <w:tcPr>
            <w:tcW w:w="960" w:type="dxa"/>
            <w:tcBorders>
              <w:top w:val="nil"/>
              <w:left w:val="nil"/>
              <w:bottom w:val="single" w:sz="4" w:space="0" w:color="auto"/>
              <w:right w:val="single" w:sz="4" w:space="0" w:color="auto"/>
            </w:tcBorders>
            <w:shd w:val="clear" w:color="auto" w:fill="auto"/>
            <w:noWrap/>
            <w:vAlign w:val="bottom"/>
          </w:tcPr>
          <w:p w14:paraId="2DE82284" w14:textId="5CB9A64C"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16</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39%</w:t>
            </w:r>
          </w:p>
        </w:tc>
        <w:tc>
          <w:tcPr>
            <w:tcW w:w="960" w:type="dxa"/>
            <w:tcBorders>
              <w:top w:val="nil"/>
              <w:left w:val="nil"/>
              <w:bottom w:val="single" w:sz="4" w:space="0" w:color="auto"/>
              <w:right w:val="single" w:sz="4" w:space="0" w:color="auto"/>
            </w:tcBorders>
            <w:shd w:val="clear" w:color="auto" w:fill="auto"/>
            <w:noWrap/>
            <w:vAlign w:val="bottom"/>
          </w:tcPr>
          <w:p w14:paraId="3D80F905" w14:textId="43F244F3"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16</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77%</w:t>
            </w:r>
          </w:p>
        </w:tc>
        <w:tc>
          <w:tcPr>
            <w:tcW w:w="960" w:type="dxa"/>
            <w:tcBorders>
              <w:top w:val="nil"/>
              <w:left w:val="nil"/>
              <w:bottom w:val="single" w:sz="4" w:space="0" w:color="auto"/>
              <w:right w:val="single" w:sz="4" w:space="0" w:color="auto"/>
            </w:tcBorders>
            <w:shd w:val="clear" w:color="auto" w:fill="auto"/>
            <w:noWrap/>
            <w:vAlign w:val="bottom"/>
          </w:tcPr>
          <w:p w14:paraId="17DE1135" w14:textId="3C15F89B"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16</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13%</w:t>
            </w:r>
          </w:p>
        </w:tc>
        <w:tc>
          <w:tcPr>
            <w:tcW w:w="960" w:type="dxa"/>
            <w:tcBorders>
              <w:top w:val="nil"/>
              <w:left w:val="nil"/>
              <w:bottom w:val="single" w:sz="4" w:space="0" w:color="auto"/>
              <w:right w:val="single" w:sz="4" w:space="0" w:color="auto"/>
            </w:tcBorders>
            <w:shd w:val="clear" w:color="auto" w:fill="auto"/>
            <w:noWrap/>
            <w:vAlign w:val="bottom"/>
          </w:tcPr>
          <w:p w14:paraId="3D46D04E" w14:textId="4143AB0B"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16</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39%</w:t>
            </w:r>
          </w:p>
        </w:tc>
      </w:tr>
      <w:tr w:rsidR="00ED7B99" w:rsidRPr="00ED7B99" w14:paraId="20C36B4C"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D916BC7" w14:textId="77777777" w:rsidR="00ED7B99" w:rsidRPr="00ED7B99" w:rsidRDefault="00ED7B99" w:rsidP="00ED7B99">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Federacija BIH - Srednja preduzeća</w:t>
            </w:r>
          </w:p>
        </w:tc>
        <w:tc>
          <w:tcPr>
            <w:tcW w:w="819" w:type="dxa"/>
            <w:tcBorders>
              <w:top w:val="nil"/>
              <w:left w:val="nil"/>
              <w:bottom w:val="single" w:sz="4" w:space="0" w:color="auto"/>
              <w:right w:val="single" w:sz="4" w:space="0" w:color="auto"/>
            </w:tcBorders>
            <w:shd w:val="clear" w:color="auto" w:fill="auto"/>
            <w:vAlign w:val="center"/>
            <w:hideMark/>
          </w:tcPr>
          <w:p w14:paraId="3EE07866"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918</w:t>
            </w:r>
          </w:p>
        </w:tc>
        <w:tc>
          <w:tcPr>
            <w:tcW w:w="819" w:type="dxa"/>
            <w:tcBorders>
              <w:top w:val="nil"/>
              <w:left w:val="nil"/>
              <w:bottom w:val="single" w:sz="4" w:space="0" w:color="auto"/>
              <w:right w:val="single" w:sz="4" w:space="0" w:color="auto"/>
            </w:tcBorders>
            <w:shd w:val="clear" w:color="auto" w:fill="auto"/>
            <w:vAlign w:val="center"/>
            <w:hideMark/>
          </w:tcPr>
          <w:p w14:paraId="4477C95B"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956</w:t>
            </w:r>
          </w:p>
        </w:tc>
        <w:tc>
          <w:tcPr>
            <w:tcW w:w="819" w:type="dxa"/>
            <w:tcBorders>
              <w:top w:val="nil"/>
              <w:left w:val="nil"/>
              <w:bottom w:val="single" w:sz="4" w:space="0" w:color="auto"/>
              <w:right w:val="single" w:sz="4" w:space="0" w:color="auto"/>
            </w:tcBorders>
            <w:shd w:val="clear" w:color="auto" w:fill="auto"/>
            <w:vAlign w:val="center"/>
            <w:hideMark/>
          </w:tcPr>
          <w:p w14:paraId="42747BE7"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920</w:t>
            </w:r>
          </w:p>
        </w:tc>
        <w:tc>
          <w:tcPr>
            <w:tcW w:w="819" w:type="dxa"/>
            <w:tcBorders>
              <w:top w:val="nil"/>
              <w:left w:val="nil"/>
              <w:bottom w:val="single" w:sz="4" w:space="0" w:color="auto"/>
              <w:right w:val="single" w:sz="4" w:space="0" w:color="auto"/>
            </w:tcBorders>
            <w:shd w:val="clear" w:color="auto" w:fill="auto"/>
            <w:vAlign w:val="center"/>
            <w:hideMark/>
          </w:tcPr>
          <w:p w14:paraId="09C23094"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919</w:t>
            </w:r>
          </w:p>
        </w:tc>
        <w:tc>
          <w:tcPr>
            <w:tcW w:w="960" w:type="dxa"/>
            <w:tcBorders>
              <w:top w:val="nil"/>
              <w:left w:val="nil"/>
              <w:bottom w:val="single" w:sz="4" w:space="0" w:color="auto"/>
              <w:right w:val="single" w:sz="4" w:space="0" w:color="auto"/>
            </w:tcBorders>
            <w:shd w:val="clear" w:color="auto" w:fill="auto"/>
            <w:noWrap/>
            <w:vAlign w:val="bottom"/>
          </w:tcPr>
          <w:p w14:paraId="79CE4134" w14:textId="5EC24861"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02%</w:t>
            </w:r>
          </w:p>
        </w:tc>
        <w:tc>
          <w:tcPr>
            <w:tcW w:w="960" w:type="dxa"/>
            <w:tcBorders>
              <w:top w:val="nil"/>
              <w:left w:val="nil"/>
              <w:bottom w:val="single" w:sz="4" w:space="0" w:color="auto"/>
              <w:right w:val="single" w:sz="4" w:space="0" w:color="auto"/>
            </w:tcBorders>
            <w:shd w:val="clear" w:color="auto" w:fill="auto"/>
            <w:noWrap/>
            <w:vAlign w:val="bottom"/>
          </w:tcPr>
          <w:p w14:paraId="78A864DE" w14:textId="13250768"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16%</w:t>
            </w:r>
          </w:p>
        </w:tc>
        <w:tc>
          <w:tcPr>
            <w:tcW w:w="960" w:type="dxa"/>
            <w:tcBorders>
              <w:top w:val="nil"/>
              <w:left w:val="nil"/>
              <w:bottom w:val="single" w:sz="4" w:space="0" w:color="auto"/>
              <w:right w:val="single" w:sz="4" w:space="0" w:color="auto"/>
            </w:tcBorders>
            <w:shd w:val="clear" w:color="auto" w:fill="auto"/>
            <w:noWrap/>
            <w:vAlign w:val="bottom"/>
          </w:tcPr>
          <w:p w14:paraId="6F3297F3" w14:textId="3DDB4060"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03%</w:t>
            </w:r>
          </w:p>
        </w:tc>
        <w:tc>
          <w:tcPr>
            <w:tcW w:w="960" w:type="dxa"/>
            <w:tcBorders>
              <w:top w:val="nil"/>
              <w:left w:val="nil"/>
              <w:bottom w:val="single" w:sz="4" w:space="0" w:color="auto"/>
              <w:right w:val="single" w:sz="4" w:space="0" w:color="auto"/>
            </w:tcBorders>
            <w:shd w:val="clear" w:color="auto" w:fill="auto"/>
            <w:noWrap/>
            <w:vAlign w:val="bottom"/>
          </w:tcPr>
          <w:p w14:paraId="02FC3680" w14:textId="2BE7A659"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w:t>
            </w:r>
            <w:r>
              <w:rPr>
                <w:rFonts w:asciiTheme="majorHAnsi" w:eastAsia="Times New Roman" w:hAnsiTheme="majorHAnsi" w:cstheme="majorHAnsi"/>
                <w:color w:val="000000"/>
                <w:sz w:val="18"/>
                <w:szCs w:val="18"/>
                <w:lang w:val="hr-HR" w:eastAsia="hr-HR"/>
              </w:rPr>
              <w:t>,</w:t>
            </w:r>
            <w:r w:rsidRPr="00ED7B99">
              <w:rPr>
                <w:rFonts w:asciiTheme="majorHAnsi" w:eastAsia="Times New Roman" w:hAnsiTheme="majorHAnsi" w:cstheme="majorHAnsi"/>
                <w:color w:val="000000"/>
                <w:sz w:val="18"/>
                <w:szCs w:val="18"/>
                <w:lang w:val="hr-HR" w:eastAsia="hr-HR"/>
              </w:rPr>
              <w:t>02%</w:t>
            </w:r>
          </w:p>
        </w:tc>
      </w:tr>
      <w:tr w:rsidR="00ED7B99" w:rsidRPr="00ED7B99" w14:paraId="41646786"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000000" w:fill="DEEAF6"/>
            <w:vAlign w:val="center"/>
            <w:hideMark/>
          </w:tcPr>
          <w:p w14:paraId="7985A5D9" w14:textId="3A36CE89" w:rsidR="00ED7B99" w:rsidRPr="00ED7B99" w:rsidRDefault="00ED7B99" w:rsidP="00ED7B99">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Federacija BiH -</w:t>
            </w:r>
            <w:r>
              <w:rPr>
                <w:rFonts w:asciiTheme="majorHAnsi" w:eastAsia="Times New Roman" w:hAnsiTheme="majorHAnsi" w:cstheme="majorHAnsi"/>
                <w:b/>
                <w:bCs/>
                <w:color w:val="000000"/>
                <w:sz w:val="18"/>
                <w:szCs w:val="18"/>
                <w:lang w:val="hr-HR" w:eastAsia="hr-HR"/>
              </w:rPr>
              <w:t>privredni subjekti</w:t>
            </w:r>
          </w:p>
        </w:tc>
        <w:tc>
          <w:tcPr>
            <w:tcW w:w="819" w:type="dxa"/>
            <w:tcBorders>
              <w:top w:val="nil"/>
              <w:left w:val="nil"/>
              <w:bottom w:val="single" w:sz="4" w:space="0" w:color="auto"/>
              <w:right w:val="single" w:sz="4" w:space="0" w:color="auto"/>
            </w:tcBorders>
            <w:shd w:val="clear" w:color="000000" w:fill="DEEAF6"/>
            <w:vAlign w:val="bottom"/>
          </w:tcPr>
          <w:p w14:paraId="17387C8E" w14:textId="2E09D980" w:rsidR="00ED7B99" w:rsidRPr="00ED7B99" w:rsidRDefault="00ED7B99" w:rsidP="00ED7B99">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22.851</w:t>
            </w:r>
          </w:p>
        </w:tc>
        <w:tc>
          <w:tcPr>
            <w:tcW w:w="819" w:type="dxa"/>
            <w:tcBorders>
              <w:top w:val="nil"/>
              <w:left w:val="nil"/>
              <w:bottom w:val="single" w:sz="4" w:space="0" w:color="auto"/>
              <w:right w:val="single" w:sz="4" w:space="0" w:color="auto"/>
            </w:tcBorders>
            <w:shd w:val="clear" w:color="000000" w:fill="DEEAF6"/>
            <w:vAlign w:val="bottom"/>
          </w:tcPr>
          <w:p w14:paraId="6D0F1DD6" w14:textId="4AE9BF11" w:rsidR="00ED7B99" w:rsidRPr="00ED7B99" w:rsidRDefault="00ED7B99" w:rsidP="00ED7B99">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23.000</w:t>
            </w:r>
          </w:p>
        </w:tc>
        <w:tc>
          <w:tcPr>
            <w:tcW w:w="819" w:type="dxa"/>
            <w:tcBorders>
              <w:top w:val="nil"/>
              <w:left w:val="nil"/>
              <w:bottom w:val="single" w:sz="4" w:space="0" w:color="auto"/>
              <w:right w:val="single" w:sz="4" w:space="0" w:color="auto"/>
            </w:tcBorders>
            <w:shd w:val="clear" w:color="000000" w:fill="DEEAF6"/>
            <w:vAlign w:val="bottom"/>
          </w:tcPr>
          <w:p w14:paraId="77F89B2B" w14:textId="0453D887" w:rsidR="00ED7B99" w:rsidRPr="00ED7B99" w:rsidRDefault="00ED7B99" w:rsidP="00ED7B99">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22.818</w:t>
            </w:r>
          </w:p>
        </w:tc>
        <w:tc>
          <w:tcPr>
            <w:tcW w:w="819" w:type="dxa"/>
            <w:tcBorders>
              <w:top w:val="nil"/>
              <w:left w:val="nil"/>
              <w:bottom w:val="single" w:sz="4" w:space="0" w:color="auto"/>
              <w:right w:val="single" w:sz="4" w:space="0" w:color="auto"/>
            </w:tcBorders>
            <w:shd w:val="clear" w:color="000000" w:fill="DDEBF7"/>
            <w:vAlign w:val="bottom"/>
          </w:tcPr>
          <w:p w14:paraId="1765A75A" w14:textId="1FA6755B" w:rsidR="00ED7B99" w:rsidRPr="00ED7B99" w:rsidRDefault="00ED7B99" w:rsidP="00ED7B99">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23.539</w:t>
            </w:r>
          </w:p>
        </w:tc>
        <w:tc>
          <w:tcPr>
            <w:tcW w:w="960" w:type="dxa"/>
            <w:tcBorders>
              <w:top w:val="nil"/>
              <w:left w:val="nil"/>
              <w:bottom w:val="single" w:sz="4" w:space="0" w:color="auto"/>
              <w:right w:val="single" w:sz="4" w:space="0" w:color="auto"/>
            </w:tcBorders>
            <w:shd w:val="clear" w:color="000000" w:fill="DDEBF7"/>
            <w:noWrap/>
            <w:vAlign w:val="bottom"/>
          </w:tcPr>
          <w:p w14:paraId="31D1DC5F" w14:textId="50876B3F" w:rsidR="00ED7B99" w:rsidRPr="00ED7B99" w:rsidRDefault="00ED7B99" w:rsidP="00ED7B99">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66</w:t>
            </w:r>
            <w:r>
              <w:rPr>
                <w:rFonts w:asciiTheme="majorHAnsi" w:eastAsia="Times New Roman" w:hAnsiTheme="majorHAnsi" w:cstheme="majorHAnsi"/>
                <w:b/>
                <w:bCs/>
                <w:color w:val="000000"/>
                <w:sz w:val="18"/>
                <w:szCs w:val="18"/>
                <w:lang w:val="hr-HR" w:eastAsia="hr-HR"/>
              </w:rPr>
              <w:t>,</w:t>
            </w:r>
            <w:r w:rsidRPr="00ED7B99">
              <w:rPr>
                <w:rFonts w:asciiTheme="majorHAnsi" w:eastAsia="Times New Roman" w:hAnsiTheme="majorHAnsi" w:cstheme="majorHAnsi"/>
                <w:b/>
                <w:bCs/>
                <w:color w:val="000000"/>
                <w:sz w:val="18"/>
                <w:szCs w:val="18"/>
                <w:lang w:val="hr-HR" w:eastAsia="hr-HR"/>
              </w:rPr>
              <w:t>47%</w:t>
            </w:r>
          </w:p>
        </w:tc>
        <w:tc>
          <w:tcPr>
            <w:tcW w:w="960" w:type="dxa"/>
            <w:tcBorders>
              <w:top w:val="nil"/>
              <w:left w:val="nil"/>
              <w:bottom w:val="single" w:sz="4" w:space="0" w:color="auto"/>
              <w:right w:val="single" w:sz="4" w:space="0" w:color="auto"/>
            </w:tcBorders>
            <w:shd w:val="clear" w:color="000000" w:fill="DDEBF7"/>
            <w:noWrap/>
            <w:vAlign w:val="bottom"/>
          </w:tcPr>
          <w:p w14:paraId="5AFFF696" w14:textId="4D5E35E9" w:rsidR="00ED7B99" w:rsidRPr="00ED7B99" w:rsidRDefault="00ED7B99" w:rsidP="00ED7B99">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66</w:t>
            </w:r>
            <w:r>
              <w:rPr>
                <w:rFonts w:asciiTheme="majorHAnsi" w:eastAsia="Times New Roman" w:hAnsiTheme="majorHAnsi" w:cstheme="majorHAnsi"/>
                <w:b/>
                <w:bCs/>
                <w:color w:val="000000"/>
                <w:sz w:val="18"/>
                <w:szCs w:val="18"/>
                <w:lang w:val="hr-HR" w:eastAsia="hr-HR"/>
              </w:rPr>
              <w:t>,</w:t>
            </w:r>
            <w:r w:rsidRPr="00ED7B99">
              <w:rPr>
                <w:rFonts w:asciiTheme="majorHAnsi" w:eastAsia="Times New Roman" w:hAnsiTheme="majorHAnsi" w:cstheme="majorHAnsi"/>
                <w:b/>
                <w:bCs/>
                <w:color w:val="000000"/>
                <w:sz w:val="18"/>
                <w:szCs w:val="18"/>
                <w:lang w:val="hr-HR" w:eastAsia="hr-HR"/>
              </w:rPr>
              <w:t>60%</w:t>
            </w:r>
          </w:p>
        </w:tc>
        <w:tc>
          <w:tcPr>
            <w:tcW w:w="960" w:type="dxa"/>
            <w:tcBorders>
              <w:top w:val="nil"/>
              <w:left w:val="nil"/>
              <w:bottom w:val="single" w:sz="4" w:space="0" w:color="auto"/>
              <w:right w:val="single" w:sz="4" w:space="0" w:color="auto"/>
            </w:tcBorders>
            <w:shd w:val="clear" w:color="000000" w:fill="DDEBF7"/>
            <w:noWrap/>
            <w:vAlign w:val="bottom"/>
          </w:tcPr>
          <w:p w14:paraId="28A3BCAC" w14:textId="6A6DAEEC" w:rsidR="00ED7B99" w:rsidRPr="00ED7B99" w:rsidRDefault="00ED7B99" w:rsidP="00ED7B99">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66</w:t>
            </w:r>
            <w:r>
              <w:rPr>
                <w:rFonts w:asciiTheme="majorHAnsi" w:eastAsia="Times New Roman" w:hAnsiTheme="majorHAnsi" w:cstheme="majorHAnsi"/>
                <w:b/>
                <w:bCs/>
                <w:color w:val="000000"/>
                <w:sz w:val="18"/>
                <w:szCs w:val="18"/>
                <w:lang w:val="hr-HR" w:eastAsia="hr-HR"/>
              </w:rPr>
              <w:t>,</w:t>
            </w:r>
            <w:r w:rsidRPr="00ED7B99">
              <w:rPr>
                <w:rFonts w:asciiTheme="majorHAnsi" w:eastAsia="Times New Roman" w:hAnsiTheme="majorHAnsi" w:cstheme="majorHAnsi"/>
                <w:b/>
                <w:bCs/>
                <w:color w:val="000000"/>
                <w:sz w:val="18"/>
                <w:szCs w:val="18"/>
                <w:lang w:val="hr-HR" w:eastAsia="hr-HR"/>
              </w:rPr>
              <w:t>24%</w:t>
            </w:r>
          </w:p>
        </w:tc>
        <w:tc>
          <w:tcPr>
            <w:tcW w:w="960" w:type="dxa"/>
            <w:tcBorders>
              <w:top w:val="nil"/>
              <w:left w:val="nil"/>
              <w:bottom w:val="single" w:sz="4" w:space="0" w:color="auto"/>
              <w:right w:val="single" w:sz="4" w:space="0" w:color="auto"/>
            </w:tcBorders>
            <w:shd w:val="clear" w:color="000000" w:fill="DDEBF7"/>
            <w:noWrap/>
            <w:vAlign w:val="bottom"/>
          </w:tcPr>
          <w:p w14:paraId="2C89E6B5" w14:textId="035284D0" w:rsidR="00ED7B99" w:rsidRPr="00ED7B99" w:rsidRDefault="00ED7B99" w:rsidP="00ED7B99">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66</w:t>
            </w:r>
            <w:r>
              <w:rPr>
                <w:rFonts w:asciiTheme="majorHAnsi" w:eastAsia="Times New Roman" w:hAnsiTheme="majorHAnsi" w:cstheme="majorHAnsi"/>
                <w:b/>
                <w:bCs/>
                <w:color w:val="000000"/>
                <w:sz w:val="18"/>
                <w:szCs w:val="18"/>
                <w:lang w:val="hr-HR" w:eastAsia="hr-HR"/>
              </w:rPr>
              <w:t>,</w:t>
            </w:r>
            <w:r w:rsidRPr="00ED7B99">
              <w:rPr>
                <w:rFonts w:asciiTheme="majorHAnsi" w:eastAsia="Times New Roman" w:hAnsiTheme="majorHAnsi" w:cstheme="majorHAnsi"/>
                <w:b/>
                <w:bCs/>
                <w:color w:val="000000"/>
                <w:sz w:val="18"/>
                <w:szCs w:val="18"/>
                <w:lang w:val="hr-HR" w:eastAsia="hr-HR"/>
              </w:rPr>
              <w:t>49%</w:t>
            </w:r>
          </w:p>
        </w:tc>
      </w:tr>
      <w:tr w:rsidR="00ED7B99" w:rsidRPr="00ED7B99" w14:paraId="05C8B49E"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3F80F31" w14:textId="77777777" w:rsidR="00ED7B99" w:rsidRPr="00ED7B99" w:rsidRDefault="00ED7B99" w:rsidP="00ED7B99">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Federacija BIH - Obrti - fizička lica</w:t>
            </w:r>
          </w:p>
        </w:tc>
        <w:tc>
          <w:tcPr>
            <w:tcW w:w="819" w:type="dxa"/>
            <w:tcBorders>
              <w:top w:val="nil"/>
              <w:left w:val="nil"/>
              <w:bottom w:val="single" w:sz="4" w:space="0" w:color="auto"/>
              <w:right w:val="single" w:sz="4" w:space="0" w:color="auto"/>
            </w:tcBorders>
            <w:shd w:val="clear" w:color="auto" w:fill="auto"/>
            <w:vAlign w:val="center"/>
            <w:hideMark/>
          </w:tcPr>
          <w:p w14:paraId="5E6B8757"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51.337</w:t>
            </w:r>
          </w:p>
        </w:tc>
        <w:tc>
          <w:tcPr>
            <w:tcW w:w="819" w:type="dxa"/>
            <w:tcBorders>
              <w:top w:val="nil"/>
              <w:left w:val="nil"/>
              <w:bottom w:val="single" w:sz="4" w:space="0" w:color="auto"/>
              <w:right w:val="single" w:sz="4" w:space="0" w:color="auto"/>
            </w:tcBorders>
            <w:shd w:val="clear" w:color="auto" w:fill="auto"/>
            <w:vAlign w:val="center"/>
            <w:hideMark/>
          </w:tcPr>
          <w:p w14:paraId="5E340BD1"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52.161</w:t>
            </w:r>
          </w:p>
        </w:tc>
        <w:tc>
          <w:tcPr>
            <w:tcW w:w="819" w:type="dxa"/>
            <w:tcBorders>
              <w:top w:val="nil"/>
              <w:left w:val="nil"/>
              <w:bottom w:val="single" w:sz="4" w:space="0" w:color="auto"/>
              <w:right w:val="single" w:sz="4" w:space="0" w:color="auto"/>
            </w:tcBorders>
            <w:shd w:val="clear" w:color="auto" w:fill="auto"/>
            <w:vAlign w:val="center"/>
            <w:hideMark/>
          </w:tcPr>
          <w:p w14:paraId="0DB62A65"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52.687</w:t>
            </w:r>
          </w:p>
        </w:tc>
        <w:tc>
          <w:tcPr>
            <w:tcW w:w="819" w:type="dxa"/>
            <w:tcBorders>
              <w:top w:val="nil"/>
              <w:left w:val="nil"/>
              <w:bottom w:val="single" w:sz="4" w:space="0" w:color="auto"/>
              <w:right w:val="single" w:sz="4" w:space="0" w:color="auto"/>
            </w:tcBorders>
            <w:shd w:val="clear" w:color="auto" w:fill="auto"/>
            <w:vAlign w:val="center"/>
            <w:hideMark/>
          </w:tcPr>
          <w:p w14:paraId="20851386" w14:textId="77777777" w:rsidR="00ED7B99" w:rsidRPr="00ED7B99" w:rsidRDefault="00ED7B99" w:rsidP="00ED7B99">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53.188</w:t>
            </w:r>
          </w:p>
        </w:tc>
        <w:tc>
          <w:tcPr>
            <w:tcW w:w="960" w:type="dxa"/>
            <w:tcBorders>
              <w:top w:val="nil"/>
              <w:left w:val="nil"/>
              <w:bottom w:val="single" w:sz="4" w:space="0" w:color="auto"/>
              <w:right w:val="single" w:sz="4" w:space="0" w:color="auto"/>
            </w:tcBorders>
            <w:shd w:val="clear" w:color="auto" w:fill="auto"/>
            <w:noWrap/>
            <w:vAlign w:val="center"/>
            <w:hideMark/>
          </w:tcPr>
          <w:p w14:paraId="2C4AC350" w14:textId="0FBDE207"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Pr>
                <w:rFonts w:asciiTheme="majorHAnsi" w:eastAsia="Times New Roman" w:hAnsiTheme="majorHAnsi" w:cstheme="majorHAnsi"/>
                <w:color w:val="000000"/>
                <w:sz w:val="18"/>
                <w:szCs w:val="18"/>
                <w:lang w:val="hr-HR" w:eastAsia="hr-HR"/>
              </w:rPr>
              <w:t>/</w:t>
            </w:r>
          </w:p>
        </w:tc>
        <w:tc>
          <w:tcPr>
            <w:tcW w:w="960" w:type="dxa"/>
            <w:tcBorders>
              <w:top w:val="nil"/>
              <w:left w:val="nil"/>
              <w:bottom w:val="single" w:sz="4" w:space="0" w:color="auto"/>
              <w:right w:val="single" w:sz="4" w:space="0" w:color="auto"/>
            </w:tcBorders>
            <w:shd w:val="clear" w:color="auto" w:fill="auto"/>
            <w:noWrap/>
            <w:hideMark/>
          </w:tcPr>
          <w:p w14:paraId="4B33A06A" w14:textId="6998B656"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B96692">
              <w:rPr>
                <w:rFonts w:asciiTheme="majorHAnsi" w:eastAsia="Times New Roman" w:hAnsiTheme="majorHAnsi" w:cstheme="majorHAnsi"/>
                <w:color w:val="000000"/>
                <w:sz w:val="18"/>
                <w:szCs w:val="18"/>
                <w:lang w:val="hr-HR" w:eastAsia="hr-HR"/>
              </w:rPr>
              <w:t>/</w:t>
            </w:r>
          </w:p>
        </w:tc>
        <w:tc>
          <w:tcPr>
            <w:tcW w:w="960" w:type="dxa"/>
            <w:tcBorders>
              <w:top w:val="nil"/>
              <w:left w:val="nil"/>
              <w:bottom w:val="single" w:sz="4" w:space="0" w:color="auto"/>
              <w:right w:val="single" w:sz="4" w:space="0" w:color="auto"/>
            </w:tcBorders>
            <w:shd w:val="clear" w:color="auto" w:fill="auto"/>
            <w:noWrap/>
            <w:hideMark/>
          </w:tcPr>
          <w:p w14:paraId="169DDFDF" w14:textId="2297ECEB"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B96692">
              <w:rPr>
                <w:rFonts w:asciiTheme="majorHAnsi" w:eastAsia="Times New Roman" w:hAnsiTheme="majorHAnsi" w:cstheme="majorHAnsi"/>
                <w:color w:val="000000"/>
                <w:sz w:val="18"/>
                <w:szCs w:val="18"/>
                <w:lang w:val="hr-HR" w:eastAsia="hr-HR"/>
              </w:rPr>
              <w:t>/</w:t>
            </w:r>
          </w:p>
        </w:tc>
        <w:tc>
          <w:tcPr>
            <w:tcW w:w="960" w:type="dxa"/>
            <w:tcBorders>
              <w:top w:val="nil"/>
              <w:left w:val="nil"/>
              <w:bottom w:val="single" w:sz="4" w:space="0" w:color="auto"/>
              <w:right w:val="single" w:sz="4" w:space="0" w:color="auto"/>
            </w:tcBorders>
            <w:shd w:val="clear" w:color="auto" w:fill="auto"/>
            <w:noWrap/>
            <w:hideMark/>
          </w:tcPr>
          <w:p w14:paraId="41A22DED" w14:textId="3968A786" w:rsidR="00ED7B99" w:rsidRPr="00ED7B99" w:rsidRDefault="00ED7B99" w:rsidP="00ED7B99">
            <w:pPr>
              <w:spacing w:after="0" w:line="240" w:lineRule="auto"/>
              <w:jc w:val="center"/>
              <w:rPr>
                <w:rFonts w:asciiTheme="majorHAnsi" w:eastAsia="Times New Roman" w:hAnsiTheme="majorHAnsi" w:cstheme="majorHAnsi"/>
                <w:color w:val="000000"/>
                <w:sz w:val="18"/>
                <w:szCs w:val="18"/>
                <w:lang w:val="hr-HR" w:eastAsia="hr-HR"/>
              </w:rPr>
            </w:pPr>
            <w:r w:rsidRPr="00B96692">
              <w:rPr>
                <w:rFonts w:asciiTheme="majorHAnsi" w:eastAsia="Times New Roman" w:hAnsiTheme="majorHAnsi" w:cstheme="majorHAnsi"/>
                <w:color w:val="000000"/>
                <w:sz w:val="18"/>
                <w:szCs w:val="18"/>
                <w:lang w:val="hr-HR" w:eastAsia="hr-HR"/>
              </w:rPr>
              <w:t>/</w:t>
            </w:r>
          </w:p>
        </w:tc>
      </w:tr>
      <w:tr w:rsidR="00DC6AAD" w:rsidRPr="00ED7B99" w14:paraId="4703B5EE"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000000" w:fill="DEEAF6"/>
            <w:vAlign w:val="center"/>
            <w:hideMark/>
          </w:tcPr>
          <w:p w14:paraId="7FC5CADD" w14:textId="77777777" w:rsidR="00DC6AAD" w:rsidRPr="00ED7B99" w:rsidRDefault="00DC6AAD" w:rsidP="00744E87">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Federacija BiH -subjekti male privrede</w:t>
            </w:r>
          </w:p>
        </w:tc>
        <w:tc>
          <w:tcPr>
            <w:tcW w:w="819" w:type="dxa"/>
            <w:tcBorders>
              <w:top w:val="nil"/>
              <w:left w:val="nil"/>
              <w:bottom w:val="single" w:sz="4" w:space="0" w:color="auto"/>
              <w:right w:val="single" w:sz="4" w:space="0" w:color="auto"/>
            </w:tcBorders>
            <w:shd w:val="clear" w:color="000000" w:fill="DEEAF6"/>
            <w:vAlign w:val="center"/>
            <w:hideMark/>
          </w:tcPr>
          <w:p w14:paraId="62048CB3"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74.188</w:t>
            </w:r>
          </w:p>
        </w:tc>
        <w:tc>
          <w:tcPr>
            <w:tcW w:w="819" w:type="dxa"/>
            <w:tcBorders>
              <w:top w:val="nil"/>
              <w:left w:val="nil"/>
              <w:bottom w:val="single" w:sz="4" w:space="0" w:color="auto"/>
              <w:right w:val="single" w:sz="4" w:space="0" w:color="auto"/>
            </w:tcBorders>
            <w:shd w:val="clear" w:color="000000" w:fill="DEEAF6"/>
            <w:vAlign w:val="center"/>
            <w:hideMark/>
          </w:tcPr>
          <w:p w14:paraId="63969826"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75.161</w:t>
            </w:r>
          </w:p>
        </w:tc>
        <w:tc>
          <w:tcPr>
            <w:tcW w:w="819" w:type="dxa"/>
            <w:tcBorders>
              <w:top w:val="nil"/>
              <w:left w:val="nil"/>
              <w:bottom w:val="single" w:sz="4" w:space="0" w:color="auto"/>
              <w:right w:val="single" w:sz="4" w:space="0" w:color="auto"/>
            </w:tcBorders>
            <w:shd w:val="clear" w:color="000000" w:fill="DEEAF6"/>
            <w:vAlign w:val="center"/>
            <w:hideMark/>
          </w:tcPr>
          <w:p w14:paraId="2357E3F1"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75.505</w:t>
            </w:r>
          </w:p>
        </w:tc>
        <w:tc>
          <w:tcPr>
            <w:tcW w:w="819" w:type="dxa"/>
            <w:tcBorders>
              <w:top w:val="nil"/>
              <w:left w:val="nil"/>
              <w:bottom w:val="single" w:sz="4" w:space="0" w:color="auto"/>
              <w:right w:val="single" w:sz="4" w:space="0" w:color="auto"/>
            </w:tcBorders>
            <w:shd w:val="clear" w:color="000000" w:fill="DDEBF7"/>
            <w:vAlign w:val="center"/>
            <w:hideMark/>
          </w:tcPr>
          <w:p w14:paraId="7DD04ADF"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76.727</w:t>
            </w:r>
          </w:p>
        </w:tc>
        <w:tc>
          <w:tcPr>
            <w:tcW w:w="960" w:type="dxa"/>
            <w:tcBorders>
              <w:top w:val="nil"/>
              <w:left w:val="nil"/>
              <w:bottom w:val="single" w:sz="4" w:space="0" w:color="auto"/>
              <w:right w:val="single" w:sz="4" w:space="0" w:color="auto"/>
            </w:tcBorders>
            <w:shd w:val="clear" w:color="000000" w:fill="DDEBF7"/>
            <w:noWrap/>
            <w:vAlign w:val="center"/>
            <w:hideMark/>
          </w:tcPr>
          <w:p w14:paraId="3AD5414D"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66,5%</w:t>
            </w:r>
          </w:p>
        </w:tc>
        <w:tc>
          <w:tcPr>
            <w:tcW w:w="960" w:type="dxa"/>
            <w:tcBorders>
              <w:top w:val="nil"/>
              <w:left w:val="nil"/>
              <w:bottom w:val="single" w:sz="4" w:space="0" w:color="auto"/>
              <w:right w:val="single" w:sz="4" w:space="0" w:color="auto"/>
            </w:tcBorders>
            <w:shd w:val="clear" w:color="000000" w:fill="DDEBF7"/>
            <w:noWrap/>
            <w:vAlign w:val="center"/>
            <w:hideMark/>
          </w:tcPr>
          <w:p w14:paraId="2236FD38"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66,6%</w:t>
            </w:r>
          </w:p>
        </w:tc>
        <w:tc>
          <w:tcPr>
            <w:tcW w:w="960" w:type="dxa"/>
            <w:tcBorders>
              <w:top w:val="nil"/>
              <w:left w:val="nil"/>
              <w:bottom w:val="single" w:sz="4" w:space="0" w:color="auto"/>
              <w:right w:val="single" w:sz="4" w:space="0" w:color="auto"/>
            </w:tcBorders>
            <w:shd w:val="clear" w:color="000000" w:fill="DDEBF7"/>
            <w:noWrap/>
            <w:vAlign w:val="center"/>
            <w:hideMark/>
          </w:tcPr>
          <w:p w14:paraId="329D0371"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66,2%</w:t>
            </w:r>
          </w:p>
        </w:tc>
        <w:tc>
          <w:tcPr>
            <w:tcW w:w="960" w:type="dxa"/>
            <w:tcBorders>
              <w:top w:val="nil"/>
              <w:left w:val="nil"/>
              <w:bottom w:val="single" w:sz="4" w:space="0" w:color="auto"/>
              <w:right w:val="single" w:sz="4" w:space="0" w:color="auto"/>
            </w:tcBorders>
            <w:shd w:val="clear" w:color="000000" w:fill="DDEBF7"/>
            <w:noWrap/>
            <w:vAlign w:val="center"/>
            <w:hideMark/>
          </w:tcPr>
          <w:p w14:paraId="4C99E56F"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66,5%</w:t>
            </w:r>
          </w:p>
        </w:tc>
      </w:tr>
      <w:tr w:rsidR="00DC6AAD" w:rsidRPr="00ED7B99" w14:paraId="5210F65E" w14:textId="77777777" w:rsidTr="00744E87">
        <w:trPr>
          <w:gridAfter w:val="1"/>
          <w:wAfter w:w="32" w:type="dxa"/>
          <w:trHeight w:val="49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46746CC"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Republika Srpska - Mikro preduzeća</w:t>
            </w:r>
          </w:p>
        </w:tc>
        <w:tc>
          <w:tcPr>
            <w:tcW w:w="819" w:type="dxa"/>
            <w:tcBorders>
              <w:top w:val="nil"/>
              <w:left w:val="nil"/>
              <w:bottom w:val="single" w:sz="4" w:space="0" w:color="auto"/>
              <w:right w:val="single" w:sz="4" w:space="0" w:color="auto"/>
            </w:tcBorders>
            <w:shd w:val="clear" w:color="auto" w:fill="auto"/>
            <w:vAlign w:val="center"/>
            <w:hideMark/>
          </w:tcPr>
          <w:p w14:paraId="3913EA0F"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7.814</w:t>
            </w:r>
          </w:p>
        </w:tc>
        <w:tc>
          <w:tcPr>
            <w:tcW w:w="819" w:type="dxa"/>
            <w:tcBorders>
              <w:top w:val="nil"/>
              <w:left w:val="nil"/>
              <w:bottom w:val="single" w:sz="4" w:space="0" w:color="auto"/>
              <w:right w:val="single" w:sz="4" w:space="0" w:color="auto"/>
            </w:tcBorders>
            <w:shd w:val="clear" w:color="auto" w:fill="auto"/>
            <w:vAlign w:val="center"/>
            <w:hideMark/>
          </w:tcPr>
          <w:p w14:paraId="4C07154B"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7.819</w:t>
            </w:r>
          </w:p>
        </w:tc>
        <w:tc>
          <w:tcPr>
            <w:tcW w:w="819" w:type="dxa"/>
            <w:tcBorders>
              <w:top w:val="nil"/>
              <w:left w:val="nil"/>
              <w:bottom w:val="single" w:sz="4" w:space="0" w:color="auto"/>
              <w:right w:val="single" w:sz="4" w:space="0" w:color="auto"/>
            </w:tcBorders>
            <w:shd w:val="clear" w:color="auto" w:fill="auto"/>
            <w:vAlign w:val="center"/>
            <w:hideMark/>
          </w:tcPr>
          <w:p w14:paraId="46C8C1E7"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7.911</w:t>
            </w:r>
          </w:p>
        </w:tc>
        <w:tc>
          <w:tcPr>
            <w:tcW w:w="819" w:type="dxa"/>
            <w:tcBorders>
              <w:top w:val="nil"/>
              <w:left w:val="nil"/>
              <w:bottom w:val="single" w:sz="4" w:space="0" w:color="auto"/>
              <w:right w:val="single" w:sz="4" w:space="0" w:color="auto"/>
            </w:tcBorders>
            <w:shd w:val="clear" w:color="auto" w:fill="auto"/>
            <w:vAlign w:val="center"/>
            <w:hideMark/>
          </w:tcPr>
          <w:p w14:paraId="1EC384BA"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8.096</w:t>
            </w:r>
          </w:p>
        </w:tc>
        <w:tc>
          <w:tcPr>
            <w:tcW w:w="960" w:type="dxa"/>
            <w:tcBorders>
              <w:top w:val="nil"/>
              <w:left w:val="nil"/>
              <w:bottom w:val="single" w:sz="4" w:space="0" w:color="auto"/>
              <w:right w:val="single" w:sz="4" w:space="0" w:color="auto"/>
            </w:tcBorders>
            <w:shd w:val="clear" w:color="auto" w:fill="auto"/>
            <w:noWrap/>
            <w:vAlign w:val="center"/>
            <w:hideMark/>
          </w:tcPr>
          <w:p w14:paraId="4DC783D3"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28,8%</w:t>
            </w:r>
          </w:p>
        </w:tc>
        <w:tc>
          <w:tcPr>
            <w:tcW w:w="960" w:type="dxa"/>
            <w:tcBorders>
              <w:top w:val="nil"/>
              <w:left w:val="nil"/>
              <w:bottom w:val="single" w:sz="4" w:space="0" w:color="auto"/>
              <w:right w:val="single" w:sz="4" w:space="0" w:color="auto"/>
            </w:tcBorders>
            <w:shd w:val="clear" w:color="auto" w:fill="auto"/>
            <w:noWrap/>
            <w:vAlign w:val="center"/>
            <w:hideMark/>
          </w:tcPr>
          <w:p w14:paraId="7A190E97"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28,8%</w:t>
            </w:r>
          </w:p>
        </w:tc>
        <w:tc>
          <w:tcPr>
            <w:tcW w:w="960" w:type="dxa"/>
            <w:tcBorders>
              <w:top w:val="nil"/>
              <w:left w:val="nil"/>
              <w:bottom w:val="single" w:sz="4" w:space="0" w:color="auto"/>
              <w:right w:val="single" w:sz="4" w:space="0" w:color="auto"/>
            </w:tcBorders>
            <w:shd w:val="clear" w:color="auto" w:fill="auto"/>
            <w:noWrap/>
            <w:vAlign w:val="center"/>
            <w:hideMark/>
          </w:tcPr>
          <w:p w14:paraId="2E51A800"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29,0%</w:t>
            </w:r>
          </w:p>
        </w:tc>
        <w:tc>
          <w:tcPr>
            <w:tcW w:w="960" w:type="dxa"/>
            <w:tcBorders>
              <w:top w:val="nil"/>
              <w:left w:val="nil"/>
              <w:bottom w:val="single" w:sz="4" w:space="0" w:color="auto"/>
              <w:right w:val="single" w:sz="4" w:space="0" w:color="auto"/>
            </w:tcBorders>
            <w:shd w:val="clear" w:color="auto" w:fill="auto"/>
            <w:noWrap/>
            <w:vAlign w:val="center"/>
            <w:hideMark/>
          </w:tcPr>
          <w:p w14:paraId="0DA6C645"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28,6%</w:t>
            </w:r>
          </w:p>
        </w:tc>
      </w:tr>
      <w:tr w:rsidR="00DC6AAD" w:rsidRPr="00ED7B99" w14:paraId="1B50D7D4"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FC861EA"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Republika Srpska - Mala preduzeća</w:t>
            </w:r>
          </w:p>
        </w:tc>
        <w:tc>
          <w:tcPr>
            <w:tcW w:w="819" w:type="dxa"/>
            <w:tcBorders>
              <w:top w:val="nil"/>
              <w:left w:val="nil"/>
              <w:bottom w:val="single" w:sz="4" w:space="0" w:color="auto"/>
              <w:right w:val="single" w:sz="4" w:space="0" w:color="auto"/>
            </w:tcBorders>
            <w:shd w:val="clear" w:color="auto" w:fill="auto"/>
            <w:vAlign w:val="center"/>
            <w:hideMark/>
          </w:tcPr>
          <w:p w14:paraId="7561522E"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1.873</w:t>
            </w:r>
          </w:p>
        </w:tc>
        <w:tc>
          <w:tcPr>
            <w:tcW w:w="819" w:type="dxa"/>
            <w:tcBorders>
              <w:top w:val="nil"/>
              <w:left w:val="nil"/>
              <w:bottom w:val="single" w:sz="4" w:space="0" w:color="auto"/>
              <w:right w:val="single" w:sz="4" w:space="0" w:color="auto"/>
            </w:tcBorders>
            <w:shd w:val="clear" w:color="auto" w:fill="auto"/>
            <w:vAlign w:val="center"/>
            <w:hideMark/>
          </w:tcPr>
          <w:p w14:paraId="319A9870"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1.873</w:t>
            </w:r>
          </w:p>
        </w:tc>
        <w:tc>
          <w:tcPr>
            <w:tcW w:w="819" w:type="dxa"/>
            <w:tcBorders>
              <w:top w:val="nil"/>
              <w:left w:val="nil"/>
              <w:bottom w:val="single" w:sz="4" w:space="0" w:color="auto"/>
              <w:right w:val="single" w:sz="4" w:space="0" w:color="auto"/>
            </w:tcBorders>
            <w:shd w:val="clear" w:color="auto" w:fill="auto"/>
            <w:vAlign w:val="center"/>
            <w:hideMark/>
          </w:tcPr>
          <w:p w14:paraId="12D6BF8E"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1.879</w:t>
            </w:r>
          </w:p>
        </w:tc>
        <w:tc>
          <w:tcPr>
            <w:tcW w:w="819" w:type="dxa"/>
            <w:tcBorders>
              <w:top w:val="nil"/>
              <w:left w:val="nil"/>
              <w:bottom w:val="single" w:sz="4" w:space="0" w:color="auto"/>
              <w:right w:val="single" w:sz="4" w:space="0" w:color="auto"/>
            </w:tcBorders>
            <w:shd w:val="clear" w:color="auto" w:fill="auto"/>
            <w:vAlign w:val="center"/>
            <w:hideMark/>
          </w:tcPr>
          <w:p w14:paraId="537F6D45"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1.852</w:t>
            </w:r>
          </w:p>
        </w:tc>
        <w:tc>
          <w:tcPr>
            <w:tcW w:w="960" w:type="dxa"/>
            <w:tcBorders>
              <w:top w:val="nil"/>
              <w:left w:val="nil"/>
              <w:bottom w:val="single" w:sz="4" w:space="0" w:color="auto"/>
              <w:right w:val="single" w:sz="4" w:space="0" w:color="auto"/>
            </w:tcBorders>
            <w:shd w:val="clear" w:color="auto" w:fill="auto"/>
            <w:noWrap/>
            <w:vAlign w:val="center"/>
            <w:hideMark/>
          </w:tcPr>
          <w:p w14:paraId="5A8FE33B"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32,4%</w:t>
            </w:r>
          </w:p>
        </w:tc>
        <w:tc>
          <w:tcPr>
            <w:tcW w:w="960" w:type="dxa"/>
            <w:tcBorders>
              <w:top w:val="nil"/>
              <w:left w:val="nil"/>
              <w:bottom w:val="single" w:sz="4" w:space="0" w:color="auto"/>
              <w:right w:val="single" w:sz="4" w:space="0" w:color="auto"/>
            </w:tcBorders>
            <w:shd w:val="clear" w:color="auto" w:fill="auto"/>
            <w:noWrap/>
            <w:vAlign w:val="center"/>
            <w:hideMark/>
          </w:tcPr>
          <w:p w14:paraId="5D0D2F3D"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31,8%</w:t>
            </w:r>
          </w:p>
        </w:tc>
        <w:tc>
          <w:tcPr>
            <w:tcW w:w="960" w:type="dxa"/>
            <w:tcBorders>
              <w:top w:val="nil"/>
              <w:left w:val="nil"/>
              <w:bottom w:val="single" w:sz="4" w:space="0" w:color="auto"/>
              <w:right w:val="single" w:sz="4" w:space="0" w:color="auto"/>
            </w:tcBorders>
            <w:shd w:val="clear" w:color="auto" w:fill="auto"/>
            <w:noWrap/>
            <w:vAlign w:val="center"/>
            <w:hideMark/>
          </w:tcPr>
          <w:p w14:paraId="5DDA2B13"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33,0%</w:t>
            </w:r>
          </w:p>
        </w:tc>
        <w:tc>
          <w:tcPr>
            <w:tcW w:w="960" w:type="dxa"/>
            <w:tcBorders>
              <w:top w:val="nil"/>
              <w:left w:val="nil"/>
              <w:bottom w:val="single" w:sz="4" w:space="0" w:color="auto"/>
              <w:right w:val="single" w:sz="4" w:space="0" w:color="auto"/>
            </w:tcBorders>
            <w:shd w:val="clear" w:color="auto" w:fill="auto"/>
            <w:noWrap/>
            <w:vAlign w:val="center"/>
            <w:hideMark/>
          </w:tcPr>
          <w:p w14:paraId="15B351AB"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32,8%</w:t>
            </w:r>
          </w:p>
        </w:tc>
      </w:tr>
      <w:tr w:rsidR="00DC6AAD" w:rsidRPr="00ED7B99" w14:paraId="46262047"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774972B"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Republika Srpska – srednja preduzeća</w:t>
            </w:r>
          </w:p>
        </w:tc>
        <w:tc>
          <w:tcPr>
            <w:tcW w:w="819" w:type="dxa"/>
            <w:tcBorders>
              <w:top w:val="nil"/>
              <w:left w:val="nil"/>
              <w:bottom w:val="single" w:sz="4" w:space="0" w:color="auto"/>
              <w:right w:val="single" w:sz="4" w:space="0" w:color="auto"/>
            </w:tcBorders>
            <w:shd w:val="clear" w:color="auto" w:fill="auto"/>
            <w:vAlign w:val="center"/>
            <w:hideMark/>
          </w:tcPr>
          <w:p w14:paraId="1ED7F41C"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486</w:t>
            </w:r>
          </w:p>
        </w:tc>
        <w:tc>
          <w:tcPr>
            <w:tcW w:w="819" w:type="dxa"/>
            <w:tcBorders>
              <w:top w:val="nil"/>
              <w:left w:val="nil"/>
              <w:bottom w:val="single" w:sz="4" w:space="0" w:color="auto"/>
              <w:right w:val="single" w:sz="4" w:space="0" w:color="auto"/>
            </w:tcBorders>
            <w:shd w:val="clear" w:color="auto" w:fill="auto"/>
            <w:vAlign w:val="center"/>
            <w:hideMark/>
          </w:tcPr>
          <w:p w14:paraId="5DBCA572"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486</w:t>
            </w:r>
          </w:p>
        </w:tc>
        <w:tc>
          <w:tcPr>
            <w:tcW w:w="819" w:type="dxa"/>
            <w:tcBorders>
              <w:top w:val="nil"/>
              <w:left w:val="nil"/>
              <w:bottom w:val="single" w:sz="4" w:space="0" w:color="auto"/>
              <w:right w:val="single" w:sz="4" w:space="0" w:color="auto"/>
            </w:tcBorders>
            <w:shd w:val="clear" w:color="auto" w:fill="auto"/>
            <w:vAlign w:val="center"/>
            <w:hideMark/>
          </w:tcPr>
          <w:p w14:paraId="2923E700"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474</w:t>
            </w:r>
          </w:p>
        </w:tc>
        <w:tc>
          <w:tcPr>
            <w:tcW w:w="819" w:type="dxa"/>
            <w:tcBorders>
              <w:top w:val="nil"/>
              <w:left w:val="nil"/>
              <w:bottom w:val="single" w:sz="4" w:space="0" w:color="auto"/>
              <w:right w:val="single" w:sz="4" w:space="0" w:color="auto"/>
            </w:tcBorders>
            <w:shd w:val="clear" w:color="auto" w:fill="auto"/>
            <w:vAlign w:val="center"/>
            <w:hideMark/>
          </w:tcPr>
          <w:p w14:paraId="6161A3A5"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474</w:t>
            </w:r>
          </w:p>
        </w:tc>
        <w:tc>
          <w:tcPr>
            <w:tcW w:w="960" w:type="dxa"/>
            <w:tcBorders>
              <w:top w:val="nil"/>
              <w:left w:val="nil"/>
              <w:bottom w:val="single" w:sz="4" w:space="0" w:color="auto"/>
              <w:right w:val="single" w:sz="4" w:space="0" w:color="auto"/>
            </w:tcBorders>
            <w:shd w:val="clear" w:color="auto" w:fill="auto"/>
            <w:noWrap/>
            <w:vAlign w:val="center"/>
            <w:hideMark/>
          </w:tcPr>
          <w:p w14:paraId="79CFD711"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34,1%</w:t>
            </w:r>
          </w:p>
        </w:tc>
        <w:tc>
          <w:tcPr>
            <w:tcW w:w="960" w:type="dxa"/>
            <w:tcBorders>
              <w:top w:val="nil"/>
              <w:left w:val="nil"/>
              <w:bottom w:val="single" w:sz="4" w:space="0" w:color="auto"/>
              <w:right w:val="single" w:sz="4" w:space="0" w:color="auto"/>
            </w:tcBorders>
            <w:shd w:val="clear" w:color="auto" w:fill="auto"/>
            <w:noWrap/>
            <w:vAlign w:val="center"/>
            <w:hideMark/>
          </w:tcPr>
          <w:p w14:paraId="357A971F"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33,2%</w:t>
            </w:r>
          </w:p>
        </w:tc>
        <w:tc>
          <w:tcPr>
            <w:tcW w:w="960" w:type="dxa"/>
            <w:tcBorders>
              <w:top w:val="nil"/>
              <w:left w:val="nil"/>
              <w:bottom w:val="single" w:sz="4" w:space="0" w:color="auto"/>
              <w:right w:val="single" w:sz="4" w:space="0" w:color="auto"/>
            </w:tcBorders>
            <w:shd w:val="clear" w:color="auto" w:fill="auto"/>
            <w:noWrap/>
            <w:vAlign w:val="center"/>
            <w:hideMark/>
          </w:tcPr>
          <w:p w14:paraId="3B044220"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33,4%</w:t>
            </w:r>
          </w:p>
        </w:tc>
        <w:tc>
          <w:tcPr>
            <w:tcW w:w="960" w:type="dxa"/>
            <w:tcBorders>
              <w:top w:val="nil"/>
              <w:left w:val="nil"/>
              <w:bottom w:val="single" w:sz="4" w:space="0" w:color="auto"/>
              <w:right w:val="single" w:sz="4" w:space="0" w:color="auto"/>
            </w:tcBorders>
            <w:shd w:val="clear" w:color="auto" w:fill="auto"/>
            <w:noWrap/>
            <w:vAlign w:val="center"/>
            <w:hideMark/>
          </w:tcPr>
          <w:p w14:paraId="2D699281"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33,5%</w:t>
            </w:r>
          </w:p>
        </w:tc>
      </w:tr>
      <w:tr w:rsidR="00DC6AAD" w:rsidRPr="00ED7B99" w14:paraId="58F2209B"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000000" w:fill="DEEAF6"/>
            <w:vAlign w:val="center"/>
            <w:hideMark/>
          </w:tcPr>
          <w:p w14:paraId="3FB10D39" w14:textId="77777777" w:rsidR="00DC6AAD" w:rsidRPr="00ED7B99" w:rsidRDefault="00DC6AAD" w:rsidP="00744E87">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Republika Srpska – privredni subjekti</w:t>
            </w:r>
          </w:p>
        </w:tc>
        <w:tc>
          <w:tcPr>
            <w:tcW w:w="819" w:type="dxa"/>
            <w:tcBorders>
              <w:top w:val="nil"/>
              <w:left w:val="nil"/>
              <w:bottom w:val="single" w:sz="4" w:space="0" w:color="auto"/>
              <w:right w:val="single" w:sz="4" w:space="0" w:color="auto"/>
            </w:tcBorders>
            <w:shd w:val="clear" w:color="000000" w:fill="DEEAF6"/>
            <w:vAlign w:val="center"/>
            <w:hideMark/>
          </w:tcPr>
          <w:p w14:paraId="06551DDA"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10.173</w:t>
            </w:r>
          </w:p>
        </w:tc>
        <w:tc>
          <w:tcPr>
            <w:tcW w:w="819" w:type="dxa"/>
            <w:tcBorders>
              <w:top w:val="nil"/>
              <w:left w:val="nil"/>
              <w:bottom w:val="single" w:sz="4" w:space="0" w:color="auto"/>
              <w:right w:val="single" w:sz="4" w:space="0" w:color="auto"/>
            </w:tcBorders>
            <w:shd w:val="clear" w:color="000000" w:fill="DEEAF6"/>
            <w:vAlign w:val="center"/>
            <w:hideMark/>
          </w:tcPr>
          <w:p w14:paraId="0A66D504"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10.178</w:t>
            </w:r>
          </w:p>
        </w:tc>
        <w:tc>
          <w:tcPr>
            <w:tcW w:w="819" w:type="dxa"/>
            <w:tcBorders>
              <w:top w:val="nil"/>
              <w:left w:val="nil"/>
              <w:bottom w:val="single" w:sz="4" w:space="0" w:color="auto"/>
              <w:right w:val="single" w:sz="4" w:space="0" w:color="auto"/>
            </w:tcBorders>
            <w:shd w:val="clear" w:color="000000" w:fill="DEEAF6"/>
            <w:vAlign w:val="center"/>
            <w:hideMark/>
          </w:tcPr>
          <w:p w14:paraId="2606C35C"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10.264</w:t>
            </w:r>
          </w:p>
        </w:tc>
        <w:tc>
          <w:tcPr>
            <w:tcW w:w="819" w:type="dxa"/>
            <w:tcBorders>
              <w:top w:val="nil"/>
              <w:left w:val="nil"/>
              <w:bottom w:val="single" w:sz="4" w:space="0" w:color="auto"/>
              <w:right w:val="single" w:sz="4" w:space="0" w:color="auto"/>
            </w:tcBorders>
            <w:shd w:val="clear" w:color="000000" w:fill="DDEBF7"/>
            <w:vAlign w:val="center"/>
            <w:hideMark/>
          </w:tcPr>
          <w:p w14:paraId="6C817025"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10.442</w:t>
            </w:r>
          </w:p>
        </w:tc>
        <w:tc>
          <w:tcPr>
            <w:tcW w:w="960" w:type="dxa"/>
            <w:tcBorders>
              <w:top w:val="nil"/>
              <w:left w:val="nil"/>
              <w:bottom w:val="single" w:sz="4" w:space="0" w:color="auto"/>
              <w:right w:val="single" w:sz="4" w:space="0" w:color="auto"/>
            </w:tcBorders>
            <w:shd w:val="clear" w:color="000000" w:fill="DDEBF7"/>
            <w:noWrap/>
            <w:vAlign w:val="center"/>
            <w:hideMark/>
          </w:tcPr>
          <w:p w14:paraId="3CB81F79"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29,6%</w:t>
            </w:r>
          </w:p>
        </w:tc>
        <w:tc>
          <w:tcPr>
            <w:tcW w:w="960" w:type="dxa"/>
            <w:tcBorders>
              <w:top w:val="nil"/>
              <w:left w:val="nil"/>
              <w:bottom w:val="single" w:sz="4" w:space="0" w:color="auto"/>
              <w:right w:val="single" w:sz="4" w:space="0" w:color="auto"/>
            </w:tcBorders>
            <w:shd w:val="clear" w:color="000000" w:fill="DDEBF7"/>
            <w:noWrap/>
            <w:vAlign w:val="center"/>
            <w:hideMark/>
          </w:tcPr>
          <w:p w14:paraId="7E9C2B50"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29,5%</w:t>
            </w:r>
          </w:p>
        </w:tc>
        <w:tc>
          <w:tcPr>
            <w:tcW w:w="960" w:type="dxa"/>
            <w:tcBorders>
              <w:top w:val="nil"/>
              <w:left w:val="nil"/>
              <w:bottom w:val="single" w:sz="4" w:space="0" w:color="auto"/>
              <w:right w:val="single" w:sz="4" w:space="0" w:color="auto"/>
            </w:tcBorders>
            <w:shd w:val="clear" w:color="000000" w:fill="DDEBF7"/>
            <w:noWrap/>
            <w:vAlign w:val="center"/>
            <w:hideMark/>
          </w:tcPr>
          <w:p w14:paraId="48368B68"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29,8%</w:t>
            </w:r>
          </w:p>
        </w:tc>
        <w:tc>
          <w:tcPr>
            <w:tcW w:w="960" w:type="dxa"/>
            <w:tcBorders>
              <w:top w:val="nil"/>
              <w:left w:val="nil"/>
              <w:bottom w:val="single" w:sz="4" w:space="0" w:color="auto"/>
              <w:right w:val="single" w:sz="4" w:space="0" w:color="auto"/>
            </w:tcBorders>
            <w:shd w:val="clear" w:color="000000" w:fill="DDEBF7"/>
            <w:noWrap/>
            <w:vAlign w:val="center"/>
            <w:hideMark/>
          </w:tcPr>
          <w:p w14:paraId="6F8EEB9F"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29,5%</w:t>
            </w:r>
          </w:p>
        </w:tc>
      </w:tr>
      <w:tr w:rsidR="00DC6AAD" w:rsidRPr="00ED7B99" w14:paraId="55961197"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BD9BF3C"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Brčko Distrikt – Mikro preduzeća</w:t>
            </w:r>
          </w:p>
        </w:tc>
        <w:tc>
          <w:tcPr>
            <w:tcW w:w="819" w:type="dxa"/>
            <w:tcBorders>
              <w:top w:val="nil"/>
              <w:left w:val="nil"/>
              <w:bottom w:val="single" w:sz="4" w:space="0" w:color="auto"/>
              <w:right w:val="single" w:sz="4" w:space="0" w:color="auto"/>
            </w:tcBorders>
            <w:shd w:val="clear" w:color="auto" w:fill="auto"/>
            <w:vAlign w:val="center"/>
            <w:hideMark/>
          </w:tcPr>
          <w:p w14:paraId="4B8A5456"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1.174</w:t>
            </w:r>
          </w:p>
        </w:tc>
        <w:tc>
          <w:tcPr>
            <w:tcW w:w="819" w:type="dxa"/>
            <w:tcBorders>
              <w:top w:val="nil"/>
              <w:left w:val="nil"/>
              <w:bottom w:val="single" w:sz="4" w:space="0" w:color="auto"/>
              <w:right w:val="single" w:sz="4" w:space="0" w:color="auto"/>
            </w:tcBorders>
            <w:shd w:val="clear" w:color="auto" w:fill="auto"/>
            <w:vAlign w:val="center"/>
            <w:hideMark/>
          </w:tcPr>
          <w:p w14:paraId="14D24488"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1.174</w:t>
            </w:r>
          </w:p>
        </w:tc>
        <w:tc>
          <w:tcPr>
            <w:tcW w:w="819" w:type="dxa"/>
            <w:tcBorders>
              <w:top w:val="nil"/>
              <w:left w:val="nil"/>
              <w:bottom w:val="single" w:sz="4" w:space="0" w:color="auto"/>
              <w:right w:val="single" w:sz="4" w:space="0" w:color="auto"/>
            </w:tcBorders>
            <w:shd w:val="clear" w:color="auto" w:fill="auto"/>
            <w:vAlign w:val="center"/>
            <w:hideMark/>
          </w:tcPr>
          <w:p w14:paraId="619BCE5A"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1.196</w:t>
            </w:r>
          </w:p>
        </w:tc>
        <w:tc>
          <w:tcPr>
            <w:tcW w:w="819" w:type="dxa"/>
            <w:tcBorders>
              <w:top w:val="nil"/>
              <w:left w:val="nil"/>
              <w:bottom w:val="single" w:sz="4" w:space="0" w:color="auto"/>
              <w:right w:val="single" w:sz="4" w:space="0" w:color="auto"/>
            </w:tcBorders>
            <w:shd w:val="clear" w:color="auto" w:fill="auto"/>
            <w:vAlign w:val="center"/>
            <w:hideMark/>
          </w:tcPr>
          <w:p w14:paraId="31482E55"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1.263</w:t>
            </w:r>
          </w:p>
        </w:tc>
        <w:tc>
          <w:tcPr>
            <w:tcW w:w="960" w:type="dxa"/>
            <w:tcBorders>
              <w:top w:val="nil"/>
              <w:left w:val="nil"/>
              <w:bottom w:val="single" w:sz="4" w:space="0" w:color="auto"/>
              <w:right w:val="single" w:sz="4" w:space="0" w:color="auto"/>
            </w:tcBorders>
            <w:shd w:val="clear" w:color="auto" w:fill="auto"/>
            <w:noWrap/>
            <w:vAlign w:val="center"/>
            <w:hideMark/>
          </w:tcPr>
          <w:p w14:paraId="39265257"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4,3%</w:t>
            </w:r>
          </w:p>
        </w:tc>
        <w:tc>
          <w:tcPr>
            <w:tcW w:w="960" w:type="dxa"/>
            <w:tcBorders>
              <w:top w:val="nil"/>
              <w:left w:val="nil"/>
              <w:bottom w:val="single" w:sz="4" w:space="0" w:color="auto"/>
              <w:right w:val="single" w:sz="4" w:space="0" w:color="auto"/>
            </w:tcBorders>
            <w:shd w:val="clear" w:color="auto" w:fill="auto"/>
            <w:noWrap/>
            <w:vAlign w:val="center"/>
            <w:hideMark/>
          </w:tcPr>
          <w:p w14:paraId="0E3196D2"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4,3%</w:t>
            </w:r>
          </w:p>
        </w:tc>
        <w:tc>
          <w:tcPr>
            <w:tcW w:w="960" w:type="dxa"/>
            <w:tcBorders>
              <w:top w:val="nil"/>
              <w:left w:val="nil"/>
              <w:bottom w:val="single" w:sz="4" w:space="0" w:color="auto"/>
              <w:right w:val="single" w:sz="4" w:space="0" w:color="auto"/>
            </w:tcBorders>
            <w:shd w:val="clear" w:color="auto" w:fill="auto"/>
            <w:noWrap/>
            <w:vAlign w:val="center"/>
            <w:hideMark/>
          </w:tcPr>
          <w:p w14:paraId="1F73A725"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4,4%</w:t>
            </w:r>
          </w:p>
        </w:tc>
        <w:tc>
          <w:tcPr>
            <w:tcW w:w="960" w:type="dxa"/>
            <w:tcBorders>
              <w:top w:val="nil"/>
              <w:left w:val="nil"/>
              <w:bottom w:val="single" w:sz="4" w:space="0" w:color="auto"/>
              <w:right w:val="single" w:sz="4" w:space="0" w:color="auto"/>
            </w:tcBorders>
            <w:shd w:val="clear" w:color="auto" w:fill="auto"/>
            <w:noWrap/>
            <w:vAlign w:val="center"/>
            <w:hideMark/>
          </w:tcPr>
          <w:p w14:paraId="32DFFA67"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4,5%</w:t>
            </w:r>
          </w:p>
        </w:tc>
      </w:tr>
      <w:tr w:rsidR="00DC6AAD" w:rsidRPr="00ED7B99" w14:paraId="0F64451E"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92DB554"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Brčko Distrikt – Mala preduzeća</w:t>
            </w:r>
          </w:p>
        </w:tc>
        <w:tc>
          <w:tcPr>
            <w:tcW w:w="819" w:type="dxa"/>
            <w:tcBorders>
              <w:top w:val="nil"/>
              <w:left w:val="nil"/>
              <w:bottom w:val="single" w:sz="4" w:space="0" w:color="auto"/>
              <w:right w:val="single" w:sz="4" w:space="0" w:color="auto"/>
            </w:tcBorders>
            <w:shd w:val="clear" w:color="auto" w:fill="auto"/>
            <w:vAlign w:val="center"/>
            <w:hideMark/>
          </w:tcPr>
          <w:p w14:paraId="699251CC"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160</w:t>
            </w:r>
          </w:p>
        </w:tc>
        <w:tc>
          <w:tcPr>
            <w:tcW w:w="819" w:type="dxa"/>
            <w:tcBorders>
              <w:top w:val="nil"/>
              <w:left w:val="nil"/>
              <w:bottom w:val="single" w:sz="4" w:space="0" w:color="auto"/>
              <w:right w:val="single" w:sz="4" w:space="0" w:color="auto"/>
            </w:tcBorders>
            <w:shd w:val="clear" w:color="auto" w:fill="auto"/>
            <w:vAlign w:val="center"/>
            <w:hideMark/>
          </w:tcPr>
          <w:p w14:paraId="2D58E9BC"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160</w:t>
            </w:r>
          </w:p>
        </w:tc>
        <w:tc>
          <w:tcPr>
            <w:tcW w:w="819" w:type="dxa"/>
            <w:tcBorders>
              <w:top w:val="nil"/>
              <w:left w:val="nil"/>
              <w:bottom w:val="single" w:sz="4" w:space="0" w:color="auto"/>
              <w:right w:val="single" w:sz="4" w:space="0" w:color="auto"/>
            </w:tcBorders>
            <w:shd w:val="clear" w:color="auto" w:fill="auto"/>
            <w:vAlign w:val="center"/>
            <w:hideMark/>
          </w:tcPr>
          <w:p w14:paraId="470B96FB"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143</w:t>
            </w:r>
          </w:p>
        </w:tc>
        <w:tc>
          <w:tcPr>
            <w:tcW w:w="819" w:type="dxa"/>
            <w:tcBorders>
              <w:top w:val="nil"/>
              <w:left w:val="nil"/>
              <w:bottom w:val="single" w:sz="4" w:space="0" w:color="auto"/>
              <w:right w:val="single" w:sz="4" w:space="0" w:color="auto"/>
            </w:tcBorders>
            <w:shd w:val="clear" w:color="auto" w:fill="auto"/>
            <w:vAlign w:val="center"/>
            <w:hideMark/>
          </w:tcPr>
          <w:p w14:paraId="22ABF22D"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160</w:t>
            </w:r>
          </w:p>
        </w:tc>
        <w:tc>
          <w:tcPr>
            <w:tcW w:w="960" w:type="dxa"/>
            <w:tcBorders>
              <w:top w:val="nil"/>
              <w:left w:val="nil"/>
              <w:bottom w:val="single" w:sz="4" w:space="0" w:color="auto"/>
              <w:right w:val="single" w:sz="4" w:space="0" w:color="auto"/>
            </w:tcBorders>
            <w:shd w:val="clear" w:color="auto" w:fill="auto"/>
            <w:noWrap/>
            <w:vAlign w:val="center"/>
            <w:hideMark/>
          </w:tcPr>
          <w:p w14:paraId="39767DC4"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2,8%</w:t>
            </w:r>
          </w:p>
        </w:tc>
        <w:tc>
          <w:tcPr>
            <w:tcW w:w="960" w:type="dxa"/>
            <w:tcBorders>
              <w:top w:val="nil"/>
              <w:left w:val="nil"/>
              <w:bottom w:val="single" w:sz="4" w:space="0" w:color="auto"/>
              <w:right w:val="single" w:sz="4" w:space="0" w:color="auto"/>
            </w:tcBorders>
            <w:shd w:val="clear" w:color="auto" w:fill="auto"/>
            <w:noWrap/>
            <w:vAlign w:val="center"/>
            <w:hideMark/>
          </w:tcPr>
          <w:p w14:paraId="11C3A4BE"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2,7%</w:t>
            </w:r>
          </w:p>
        </w:tc>
        <w:tc>
          <w:tcPr>
            <w:tcW w:w="960" w:type="dxa"/>
            <w:tcBorders>
              <w:top w:val="nil"/>
              <w:left w:val="nil"/>
              <w:bottom w:val="single" w:sz="4" w:space="0" w:color="auto"/>
              <w:right w:val="single" w:sz="4" w:space="0" w:color="auto"/>
            </w:tcBorders>
            <w:shd w:val="clear" w:color="auto" w:fill="auto"/>
            <w:noWrap/>
            <w:vAlign w:val="center"/>
            <w:hideMark/>
          </w:tcPr>
          <w:p w14:paraId="1993CD04"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2,5%</w:t>
            </w:r>
          </w:p>
        </w:tc>
        <w:tc>
          <w:tcPr>
            <w:tcW w:w="960" w:type="dxa"/>
            <w:tcBorders>
              <w:top w:val="nil"/>
              <w:left w:val="nil"/>
              <w:bottom w:val="single" w:sz="4" w:space="0" w:color="auto"/>
              <w:right w:val="single" w:sz="4" w:space="0" w:color="auto"/>
            </w:tcBorders>
            <w:shd w:val="clear" w:color="auto" w:fill="auto"/>
            <w:noWrap/>
            <w:vAlign w:val="center"/>
            <w:hideMark/>
          </w:tcPr>
          <w:p w14:paraId="562CCA93"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2,8%</w:t>
            </w:r>
          </w:p>
        </w:tc>
      </w:tr>
      <w:tr w:rsidR="00DC6AAD" w:rsidRPr="00ED7B99" w14:paraId="59B3B441"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4BC4FF7"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Brčko Distrikt – Srednja preduzeća</w:t>
            </w:r>
          </w:p>
        </w:tc>
        <w:tc>
          <w:tcPr>
            <w:tcW w:w="819" w:type="dxa"/>
            <w:tcBorders>
              <w:top w:val="nil"/>
              <w:left w:val="nil"/>
              <w:bottom w:val="single" w:sz="4" w:space="0" w:color="auto"/>
              <w:right w:val="single" w:sz="4" w:space="0" w:color="auto"/>
            </w:tcBorders>
            <w:shd w:val="clear" w:color="auto" w:fill="auto"/>
            <w:vAlign w:val="center"/>
            <w:hideMark/>
          </w:tcPr>
          <w:p w14:paraId="175475D3"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22</w:t>
            </w:r>
          </w:p>
        </w:tc>
        <w:tc>
          <w:tcPr>
            <w:tcW w:w="819" w:type="dxa"/>
            <w:tcBorders>
              <w:top w:val="nil"/>
              <w:left w:val="nil"/>
              <w:bottom w:val="single" w:sz="4" w:space="0" w:color="auto"/>
              <w:right w:val="single" w:sz="4" w:space="0" w:color="auto"/>
            </w:tcBorders>
            <w:shd w:val="clear" w:color="auto" w:fill="auto"/>
            <w:vAlign w:val="center"/>
            <w:hideMark/>
          </w:tcPr>
          <w:p w14:paraId="1E38D0E2"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22</w:t>
            </w:r>
          </w:p>
        </w:tc>
        <w:tc>
          <w:tcPr>
            <w:tcW w:w="819" w:type="dxa"/>
            <w:tcBorders>
              <w:top w:val="nil"/>
              <w:left w:val="nil"/>
              <w:bottom w:val="single" w:sz="4" w:space="0" w:color="auto"/>
              <w:right w:val="single" w:sz="4" w:space="0" w:color="auto"/>
            </w:tcBorders>
            <w:shd w:val="clear" w:color="auto" w:fill="auto"/>
            <w:vAlign w:val="center"/>
            <w:hideMark/>
          </w:tcPr>
          <w:p w14:paraId="04B22E8B"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25</w:t>
            </w:r>
          </w:p>
        </w:tc>
        <w:tc>
          <w:tcPr>
            <w:tcW w:w="819" w:type="dxa"/>
            <w:tcBorders>
              <w:top w:val="nil"/>
              <w:left w:val="nil"/>
              <w:bottom w:val="single" w:sz="4" w:space="0" w:color="auto"/>
              <w:right w:val="single" w:sz="4" w:space="0" w:color="auto"/>
            </w:tcBorders>
            <w:shd w:val="clear" w:color="auto" w:fill="auto"/>
            <w:vAlign w:val="center"/>
            <w:hideMark/>
          </w:tcPr>
          <w:p w14:paraId="42B04610"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20</w:t>
            </w:r>
          </w:p>
        </w:tc>
        <w:tc>
          <w:tcPr>
            <w:tcW w:w="960" w:type="dxa"/>
            <w:tcBorders>
              <w:top w:val="nil"/>
              <w:left w:val="nil"/>
              <w:bottom w:val="single" w:sz="4" w:space="0" w:color="auto"/>
              <w:right w:val="single" w:sz="4" w:space="0" w:color="auto"/>
            </w:tcBorders>
            <w:shd w:val="clear" w:color="auto" w:fill="auto"/>
            <w:noWrap/>
            <w:vAlign w:val="center"/>
            <w:hideMark/>
          </w:tcPr>
          <w:p w14:paraId="7F7CBD28"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1,5%</w:t>
            </w:r>
          </w:p>
        </w:tc>
        <w:tc>
          <w:tcPr>
            <w:tcW w:w="960" w:type="dxa"/>
            <w:tcBorders>
              <w:top w:val="nil"/>
              <w:left w:val="nil"/>
              <w:bottom w:val="single" w:sz="4" w:space="0" w:color="auto"/>
              <w:right w:val="single" w:sz="4" w:space="0" w:color="auto"/>
            </w:tcBorders>
            <w:shd w:val="clear" w:color="auto" w:fill="auto"/>
            <w:noWrap/>
            <w:vAlign w:val="center"/>
            <w:hideMark/>
          </w:tcPr>
          <w:p w14:paraId="6F71B691"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1,5%</w:t>
            </w:r>
          </w:p>
        </w:tc>
        <w:tc>
          <w:tcPr>
            <w:tcW w:w="960" w:type="dxa"/>
            <w:tcBorders>
              <w:top w:val="nil"/>
              <w:left w:val="nil"/>
              <w:bottom w:val="single" w:sz="4" w:space="0" w:color="auto"/>
              <w:right w:val="single" w:sz="4" w:space="0" w:color="auto"/>
            </w:tcBorders>
            <w:shd w:val="clear" w:color="auto" w:fill="auto"/>
            <w:noWrap/>
            <w:vAlign w:val="center"/>
            <w:hideMark/>
          </w:tcPr>
          <w:p w14:paraId="7875CF6F"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1,8%</w:t>
            </w:r>
          </w:p>
        </w:tc>
        <w:tc>
          <w:tcPr>
            <w:tcW w:w="960" w:type="dxa"/>
            <w:tcBorders>
              <w:top w:val="nil"/>
              <w:left w:val="nil"/>
              <w:bottom w:val="single" w:sz="4" w:space="0" w:color="auto"/>
              <w:right w:val="single" w:sz="4" w:space="0" w:color="auto"/>
            </w:tcBorders>
            <w:shd w:val="clear" w:color="auto" w:fill="auto"/>
            <w:noWrap/>
            <w:vAlign w:val="center"/>
            <w:hideMark/>
          </w:tcPr>
          <w:p w14:paraId="5AA3D1C7"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1,4%</w:t>
            </w:r>
          </w:p>
        </w:tc>
      </w:tr>
      <w:tr w:rsidR="00DC6AAD" w:rsidRPr="00ED7B99" w14:paraId="4A743C01"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000000" w:fill="DEEAF6"/>
            <w:vAlign w:val="center"/>
            <w:hideMark/>
          </w:tcPr>
          <w:p w14:paraId="5E171035" w14:textId="77777777" w:rsidR="00DC6AAD" w:rsidRPr="00ED7B99" w:rsidRDefault="00DC6AAD" w:rsidP="00744E87">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Brčko Distrikt</w:t>
            </w:r>
            <w:r w:rsidRPr="00ED7B99">
              <w:rPr>
                <w:rFonts w:asciiTheme="majorHAnsi" w:eastAsia="Times New Roman" w:hAnsiTheme="majorHAnsi" w:cstheme="majorHAnsi"/>
                <w:color w:val="000000"/>
                <w:sz w:val="18"/>
                <w:szCs w:val="18"/>
                <w:lang w:val="hr-HR" w:eastAsia="hr-HR"/>
              </w:rPr>
              <w:t xml:space="preserve"> </w:t>
            </w:r>
            <w:r w:rsidRPr="00ED7B99">
              <w:rPr>
                <w:rFonts w:asciiTheme="majorHAnsi" w:eastAsia="Times New Roman" w:hAnsiTheme="majorHAnsi" w:cstheme="majorHAnsi"/>
                <w:b/>
                <w:bCs/>
                <w:color w:val="000000"/>
                <w:sz w:val="18"/>
                <w:szCs w:val="18"/>
                <w:lang w:val="hr-HR" w:eastAsia="hr-HR"/>
              </w:rPr>
              <w:t>– privredni subjekti</w:t>
            </w:r>
          </w:p>
        </w:tc>
        <w:tc>
          <w:tcPr>
            <w:tcW w:w="819" w:type="dxa"/>
            <w:tcBorders>
              <w:top w:val="nil"/>
              <w:left w:val="nil"/>
              <w:bottom w:val="single" w:sz="4" w:space="0" w:color="auto"/>
              <w:right w:val="single" w:sz="4" w:space="0" w:color="auto"/>
            </w:tcBorders>
            <w:shd w:val="clear" w:color="000000" w:fill="DEEAF6"/>
            <w:vAlign w:val="center"/>
            <w:hideMark/>
          </w:tcPr>
          <w:p w14:paraId="35D59EFD"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1.356</w:t>
            </w:r>
          </w:p>
        </w:tc>
        <w:tc>
          <w:tcPr>
            <w:tcW w:w="819" w:type="dxa"/>
            <w:tcBorders>
              <w:top w:val="nil"/>
              <w:left w:val="nil"/>
              <w:bottom w:val="single" w:sz="4" w:space="0" w:color="auto"/>
              <w:right w:val="single" w:sz="4" w:space="0" w:color="auto"/>
            </w:tcBorders>
            <w:shd w:val="clear" w:color="000000" w:fill="DEEAF6"/>
            <w:vAlign w:val="center"/>
            <w:hideMark/>
          </w:tcPr>
          <w:p w14:paraId="5F4132AA"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1.356</w:t>
            </w:r>
          </w:p>
        </w:tc>
        <w:tc>
          <w:tcPr>
            <w:tcW w:w="819" w:type="dxa"/>
            <w:tcBorders>
              <w:top w:val="nil"/>
              <w:left w:val="nil"/>
              <w:bottom w:val="single" w:sz="4" w:space="0" w:color="auto"/>
              <w:right w:val="single" w:sz="4" w:space="0" w:color="auto"/>
            </w:tcBorders>
            <w:shd w:val="clear" w:color="000000" w:fill="DEEAF6"/>
            <w:vAlign w:val="center"/>
            <w:hideMark/>
          </w:tcPr>
          <w:p w14:paraId="63418D08"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1.364</w:t>
            </w:r>
          </w:p>
        </w:tc>
        <w:tc>
          <w:tcPr>
            <w:tcW w:w="819" w:type="dxa"/>
            <w:tcBorders>
              <w:top w:val="nil"/>
              <w:left w:val="nil"/>
              <w:bottom w:val="single" w:sz="4" w:space="0" w:color="auto"/>
              <w:right w:val="single" w:sz="4" w:space="0" w:color="auto"/>
            </w:tcBorders>
            <w:shd w:val="clear" w:color="000000" w:fill="DDEBF7"/>
            <w:vAlign w:val="center"/>
            <w:hideMark/>
          </w:tcPr>
          <w:p w14:paraId="64CC4D9C"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1.443</w:t>
            </w:r>
          </w:p>
        </w:tc>
        <w:tc>
          <w:tcPr>
            <w:tcW w:w="960" w:type="dxa"/>
            <w:tcBorders>
              <w:top w:val="nil"/>
              <w:left w:val="nil"/>
              <w:bottom w:val="single" w:sz="4" w:space="0" w:color="auto"/>
              <w:right w:val="single" w:sz="4" w:space="0" w:color="auto"/>
            </w:tcBorders>
            <w:shd w:val="clear" w:color="000000" w:fill="DDEBF7"/>
            <w:noWrap/>
            <w:vAlign w:val="center"/>
            <w:hideMark/>
          </w:tcPr>
          <w:p w14:paraId="0CCA547C"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3,9%</w:t>
            </w:r>
          </w:p>
        </w:tc>
        <w:tc>
          <w:tcPr>
            <w:tcW w:w="960" w:type="dxa"/>
            <w:tcBorders>
              <w:top w:val="nil"/>
              <w:left w:val="nil"/>
              <w:bottom w:val="single" w:sz="4" w:space="0" w:color="auto"/>
              <w:right w:val="single" w:sz="4" w:space="0" w:color="auto"/>
            </w:tcBorders>
            <w:shd w:val="clear" w:color="000000" w:fill="DDEBF7"/>
            <w:noWrap/>
            <w:vAlign w:val="center"/>
            <w:hideMark/>
          </w:tcPr>
          <w:p w14:paraId="4917C15C"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3,9%</w:t>
            </w:r>
          </w:p>
        </w:tc>
        <w:tc>
          <w:tcPr>
            <w:tcW w:w="960" w:type="dxa"/>
            <w:tcBorders>
              <w:top w:val="nil"/>
              <w:left w:val="nil"/>
              <w:bottom w:val="single" w:sz="4" w:space="0" w:color="auto"/>
              <w:right w:val="single" w:sz="4" w:space="0" w:color="auto"/>
            </w:tcBorders>
            <w:shd w:val="clear" w:color="000000" w:fill="DDEBF7"/>
            <w:noWrap/>
            <w:vAlign w:val="center"/>
            <w:hideMark/>
          </w:tcPr>
          <w:p w14:paraId="2F61B59F"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4,0%</w:t>
            </w:r>
          </w:p>
        </w:tc>
        <w:tc>
          <w:tcPr>
            <w:tcW w:w="960" w:type="dxa"/>
            <w:tcBorders>
              <w:top w:val="nil"/>
              <w:left w:val="nil"/>
              <w:bottom w:val="single" w:sz="4" w:space="0" w:color="auto"/>
              <w:right w:val="single" w:sz="4" w:space="0" w:color="auto"/>
            </w:tcBorders>
            <w:shd w:val="clear" w:color="000000" w:fill="DDEBF7"/>
            <w:noWrap/>
            <w:vAlign w:val="center"/>
            <w:hideMark/>
          </w:tcPr>
          <w:p w14:paraId="52816E60"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4,1%</w:t>
            </w:r>
          </w:p>
        </w:tc>
      </w:tr>
      <w:tr w:rsidR="00DC6AAD" w:rsidRPr="00ED7B99" w14:paraId="1CF6E9A9"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82ED81D"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Bosna i Hercegovina – Mikro preduzeća</w:t>
            </w:r>
          </w:p>
        </w:tc>
        <w:tc>
          <w:tcPr>
            <w:tcW w:w="819" w:type="dxa"/>
            <w:tcBorders>
              <w:top w:val="nil"/>
              <w:left w:val="nil"/>
              <w:bottom w:val="single" w:sz="4" w:space="0" w:color="auto"/>
              <w:right w:val="single" w:sz="4" w:space="0" w:color="auto"/>
            </w:tcBorders>
            <w:shd w:val="clear" w:color="auto" w:fill="auto"/>
            <w:vAlign w:val="center"/>
            <w:hideMark/>
          </w:tcPr>
          <w:p w14:paraId="6825C3FF"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27.176</w:t>
            </w:r>
          </w:p>
        </w:tc>
        <w:tc>
          <w:tcPr>
            <w:tcW w:w="819" w:type="dxa"/>
            <w:tcBorders>
              <w:top w:val="nil"/>
              <w:left w:val="nil"/>
              <w:bottom w:val="single" w:sz="4" w:space="0" w:color="auto"/>
              <w:right w:val="single" w:sz="4" w:space="0" w:color="auto"/>
            </w:tcBorders>
            <w:shd w:val="clear" w:color="auto" w:fill="auto"/>
            <w:vAlign w:val="center"/>
            <w:hideMark/>
          </w:tcPr>
          <w:p w14:paraId="0BDD0A52"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27.179</w:t>
            </w:r>
          </w:p>
        </w:tc>
        <w:tc>
          <w:tcPr>
            <w:tcW w:w="819" w:type="dxa"/>
            <w:tcBorders>
              <w:top w:val="nil"/>
              <w:left w:val="nil"/>
              <w:bottom w:val="single" w:sz="4" w:space="0" w:color="auto"/>
              <w:right w:val="single" w:sz="4" w:space="0" w:color="auto"/>
            </w:tcBorders>
            <w:shd w:val="clear" w:color="auto" w:fill="auto"/>
            <w:vAlign w:val="center"/>
            <w:hideMark/>
          </w:tcPr>
          <w:p w14:paraId="39E1A8DB"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27.325</w:t>
            </w:r>
          </w:p>
        </w:tc>
        <w:tc>
          <w:tcPr>
            <w:tcW w:w="819" w:type="dxa"/>
            <w:tcBorders>
              <w:top w:val="nil"/>
              <w:left w:val="nil"/>
              <w:bottom w:val="single" w:sz="4" w:space="0" w:color="auto"/>
              <w:right w:val="single" w:sz="4" w:space="0" w:color="auto"/>
            </w:tcBorders>
            <w:shd w:val="clear" w:color="auto" w:fill="auto"/>
            <w:vAlign w:val="center"/>
            <w:hideMark/>
          </w:tcPr>
          <w:p w14:paraId="2117B4D3"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28.349</w:t>
            </w:r>
          </w:p>
        </w:tc>
        <w:tc>
          <w:tcPr>
            <w:tcW w:w="960" w:type="dxa"/>
            <w:tcBorders>
              <w:top w:val="nil"/>
              <w:left w:val="nil"/>
              <w:bottom w:val="single" w:sz="4" w:space="0" w:color="auto"/>
              <w:right w:val="single" w:sz="4" w:space="0" w:color="auto"/>
            </w:tcBorders>
            <w:shd w:val="clear" w:color="auto" w:fill="auto"/>
            <w:noWrap/>
            <w:vAlign w:val="center"/>
            <w:hideMark/>
          </w:tcPr>
          <w:p w14:paraId="2580BF45"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573691E2"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63876071"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5B8BCAFB"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r>
      <w:tr w:rsidR="00DC6AAD" w:rsidRPr="00ED7B99" w14:paraId="28268FD8"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76EB024"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Bosna i Hercegovina – Mala preduzeća</w:t>
            </w:r>
          </w:p>
        </w:tc>
        <w:tc>
          <w:tcPr>
            <w:tcW w:w="819" w:type="dxa"/>
            <w:tcBorders>
              <w:top w:val="nil"/>
              <w:left w:val="nil"/>
              <w:bottom w:val="single" w:sz="4" w:space="0" w:color="auto"/>
              <w:right w:val="single" w:sz="4" w:space="0" w:color="auto"/>
            </w:tcBorders>
            <w:shd w:val="clear" w:color="auto" w:fill="auto"/>
            <w:vAlign w:val="center"/>
            <w:hideMark/>
          </w:tcPr>
          <w:p w14:paraId="7C68344F"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5.778</w:t>
            </w:r>
          </w:p>
        </w:tc>
        <w:tc>
          <w:tcPr>
            <w:tcW w:w="819" w:type="dxa"/>
            <w:tcBorders>
              <w:top w:val="nil"/>
              <w:left w:val="nil"/>
              <w:bottom w:val="single" w:sz="4" w:space="0" w:color="auto"/>
              <w:right w:val="single" w:sz="4" w:space="0" w:color="auto"/>
            </w:tcBorders>
            <w:shd w:val="clear" w:color="auto" w:fill="auto"/>
            <w:vAlign w:val="center"/>
            <w:hideMark/>
          </w:tcPr>
          <w:p w14:paraId="44ABB5BB"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5.891</w:t>
            </w:r>
          </w:p>
        </w:tc>
        <w:tc>
          <w:tcPr>
            <w:tcW w:w="819" w:type="dxa"/>
            <w:tcBorders>
              <w:top w:val="nil"/>
              <w:left w:val="nil"/>
              <w:bottom w:val="single" w:sz="4" w:space="0" w:color="auto"/>
              <w:right w:val="single" w:sz="4" w:space="0" w:color="auto"/>
            </w:tcBorders>
            <w:shd w:val="clear" w:color="auto" w:fill="auto"/>
            <w:vAlign w:val="center"/>
            <w:hideMark/>
          </w:tcPr>
          <w:p w14:paraId="0A67AAAB"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5.702</w:t>
            </w:r>
          </w:p>
        </w:tc>
        <w:tc>
          <w:tcPr>
            <w:tcW w:w="819" w:type="dxa"/>
            <w:tcBorders>
              <w:top w:val="nil"/>
              <w:left w:val="nil"/>
              <w:bottom w:val="single" w:sz="4" w:space="0" w:color="auto"/>
              <w:right w:val="single" w:sz="4" w:space="0" w:color="auto"/>
            </w:tcBorders>
            <w:shd w:val="clear" w:color="auto" w:fill="auto"/>
            <w:vAlign w:val="center"/>
            <w:hideMark/>
          </w:tcPr>
          <w:p w14:paraId="460B0C88"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5.642</w:t>
            </w:r>
          </w:p>
        </w:tc>
        <w:tc>
          <w:tcPr>
            <w:tcW w:w="960" w:type="dxa"/>
            <w:tcBorders>
              <w:top w:val="nil"/>
              <w:left w:val="nil"/>
              <w:bottom w:val="single" w:sz="4" w:space="0" w:color="auto"/>
              <w:right w:val="single" w:sz="4" w:space="0" w:color="auto"/>
            </w:tcBorders>
            <w:shd w:val="clear" w:color="auto" w:fill="auto"/>
            <w:noWrap/>
            <w:vAlign w:val="center"/>
            <w:hideMark/>
          </w:tcPr>
          <w:p w14:paraId="30EC8FE7"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7E596A3B"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474D470E"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7AABB408"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r>
      <w:tr w:rsidR="00DC6AAD" w:rsidRPr="00ED7B99" w14:paraId="1FC9B8AE"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A690B89" w14:textId="77777777" w:rsidR="00DC6AAD" w:rsidRPr="00ED7B99" w:rsidRDefault="00DC6AAD" w:rsidP="00744E87">
            <w:pPr>
              <w:spacing w:after="0" w:line="240" w:lineRule="auto"/>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Bosna i Hercegovina – Srednja preduzeća</w:t>
            </w:r>
          </w:p>
        </w:tc>
        <w:tc>
          <w:tcPr>
            <w:tcW w:w="819" w:type="dxa"/>
            <w:tcBorders>
              <w:top w:val="nil"/>
              <w:left w:val="nil"/>
              <w:bottom w:val="single" w:sz="4" w:space="0" w:color="auto"/>
              <w:right w:val="single" w:sz="4" w:space="0" w:color="auto"/>
            </w:tcBorders>
            <w:shd w:val="clear" w:color="auto" w:fill="auto"/>
            <w:vAlign w:val="center"/>
            <w:hideMark/>
          </w:tcPr>
          <w:p w14:paraId="5AEC7E34"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1.426</w:t>
            </w:r>
          </w:p>
        </w:tc>
        <w:tc>
          <w:tcPr>
            <w:tcW w:w="819" w:type="dxa"/>
            <w:tcBorders>
              <w:top w:val="nil"/>
              <w:left w:val="nil"/>
              <w:bottom w:val="single" w:sz="4" w:space="0" w:color="auto"/>
              <w:right w:val="single" w:sz="4" w:space="0" w:color="auto"/>
            </w:tcBorders>
            <w:shd w:val="clear" w:color="auto" w:fill="auto"/>
            <w:vAlign w:val="center"/>
            <w:hideMark/>
          </w:tcPr>
          <w:p w14:paraId="3DB27F43"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1.464</w:t>
            </w:r>
          </w:p>
        </w:tc>
        <w:tc>
          <w:tcPr>
            <w:tcW w:w="819" w:type="dxa"/>
            <w:tcBorders>
              <w:top w:val="nil"/>
              <w:left w:val="nil"/>
              <w:bottom w:val="single" w:sz="4" w:space="0" w:color="auto"/>
              <w:right w:val="single" w:sz="4" w:space="0" w:color="auto"/>
            </w:tcBorders>
            <w:shd w:val="clear" w:color="auto" w:fill="auto"/>
            <w:vAlign w:val="center"/>
            <w:hideMark/>
          </w:tcPr>
          <w:p w14:paraId="03C8F62D"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1.419</w:t>
            </w:r>
          </w:p>
        </w:tc>
        <w:tc>
          <w:tcPr>
            <w:tcW w:w="819" w:type="dxa"/>
            <w:tcBorders>
              <w:top w:val="nil"/>
              <w:left w:val="nil"/>
              <w:bottom w:val="single" w:sz="4" w:space="0" w:color="auto"/>
              <w:right w:val="single" w:sz="4" w:space="0" w:color="auto"/>
            </w:tcBorders>
            <w:shd w:val="clear" w:color="auto" w:fill="auto"/>
            <w:vAlign w:val="center"/>
            <w:hideMark/>
          </w:tcPr>
          <w:p w14:paraId="4F98BEBD" w14:textId="77777777" w:rsidR="00DC6AAD" w:rsidRPr="00ED7B99" w:rsidRDefault="00DC6AAD" w:rsidP="00744E87">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1.413</w:t>
            </w:r>
          </w:p>
        </w:tc>
        <w:tc>
          <w:tcPr>
            <w:tcW w:w="960" w:type="dxa"/>
            <w:tcBorders>
              <w:top w:val="nil"/>
              <w:left w:val="nil"/>
              <w:bottom w:val="single" w:sz="4" w:space="0" w:color="auto"/>
              <w:right w:val="single" w:sz="4" w:space="0" w:color="auto"/>
            </w:tcBorders>
            <w:shd w:val="clear" w:color="auto" w:fill="auto"/>
            <w:noWrap/>
            <w:vAlign w:val="center"/>
            <w:hideMark/>
          </w:tcPr>
          <w:p w14:paraId="31DA40D0"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1CF53179"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0577B47F"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5C540ED4" w14:textId="77777777" w:rsidR="00DC6AAD" w:rsidRPr="00ED7B99" w:rsidRDefault="00DC6AAD" w:rsidP="00744E87">
            <w:pPr>
              <w:spacing w:after="0" w:line="240" w:lineRule="auto"/>
              <w:jc w:val="center"/>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100,0%</w:t>
            </w:r>
          </w:p>
        </w:tc>
      </w:tr>
      <w:tr w:rsidR="00DC6AAD" w:rsidRPr="00ED7B99" w14:paraId="1B4D14FA" w14:textId="77777777" w:rsidTr="00744E87">
        <w:trPr>
          <w:gridAfter w:val="1"/>
          <w:wAfter w:w="32" w:type="dxa"/>
          <w:trHeight w:val="315"/>
          <w:jc w:val="center"/>
        </w:trPr>
        <w:tc>
          <w:tcPr>
            <w:tcW w:w="2972" w:type="dxa"/>
            <w:tcBorders>
              <w:top w:val="nil"/>
              <w:left w:val="single" w:sz="4" w:space="0" w:color="auto"/>
              <w:bottom w:val="single" w:sz="4" w:space="0" w:color="auto"/>
              <w:right w:val="single" w:sz="4" w:space="0" w:color="auto"/>
            </w:tcBorders>
            <w:shd w:val="clear" w:color="000000" w:fill="DEEAF6"/>
            <w:vAlign w:val="center"/>
            <w:hideMark/>
          </w:tcPr>
          <w:p w14:paraId="18BEA0A3" w14:textId="77777777" w:rsidR="00DC6AAD" w:rsidRPr="00ED7B99" w:rsidRDefault="00DC6AAD" w:rsidP="00744E87">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Bosna i Hercegovina - privredni subjekti</w:t>
            </w:r>
          </w:p>
        </w:tc>
        <w:tc>
          <w:tcPr>
            <w:tcW w:w="819" w:type="dxa"/>
            <w:tcBorders>
              <w:top w:val="nil"/>
              <w:left w:val="nil"/>
              <w:bottom w:val="single" w:sz="4" w:space="0" w:color="auto"/>
              <w:right w:val="single" w:sz="4" w:space="0" w:color="auto"/>
            </w:tcBorders>
            <w:shd w:val="clear" w:color="000000" w:fill="DEEAF6"/>
            <w:vAlign w:val="center"/>
            <w:hideMark/>
          </w:tcPr>
          <w:p w14:paraId="6425543F"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34.380</w:t>
            </w:r>
          </w:p>
        </w:tc>
        <w:tc>
          <w:tcPr>
            <w:tcW w:w="819" w:type="dxa"/>
            <w:tcBorders>
              <w:top w:val="nil"/>
              <w:left w:val="nil"/>
              <w:bottom w:val="single" w:sz="4" w:space="0" w:color="auto"/>
              <w:right w:val="single" w:sz="4" w:space="0" w:color="auto"/>
            </w:tcBorders>
            <w:shd w:val="clear" w:color="000000" w:fill="DEEAF6"/>
            <w:vAlign w:val="center"/>
            <w:hideMark/>
          </w:tcPr>
          <w:p w14:paraId="071DD639"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34.534</w:t>
            </w:r>
          </w:p>
        </w:tc>
        <w:tc>
          <w:tcPr>
            <w:tcW w:w="819" w:type="dxa"/>
            <w:tcBorders>
              <w:top w:val="nil"/>
              <w:left w:val="nil"/>
              <w:bottom w:val="single" w:sz="4" w:space="0" w:color="auto"/>
              <w:right w:val="single" w:sz="4" w:space="0" w:color="auto"/>
            </w:tcBorders>
            <w:shd w:val="clear" w:color="000000" w:fill="DEEAF6"/>
            <w:vAlign w:val="center"/>
            <w:hideMark/>
          </w:tcPr>
          <w:p w14:paraId="1EAFFA50"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34.446</w:t>
            </w:r>
          </w:p>
        </w:tc>
        <w:tc>
          <w:tcPr>
            <w:tcW w:w="819" w:type="dxa"/>
            <w:tcBorders>
              <w:top w:val="nil"/>
              <w:left w:val="nil"/>
              <w:bottom w:val="single" w:sz="4" w:space="0" w:color="auto"/>
              <w:right w:val="single" w:sz="4" w:space="0" w:color="auto"/>
            </w:tcBorders>
            <w:shd w:val="clear" w:color="000000" w:fill="DDEBF7"/>
            <w:vAlign w:val="center"/>
            <w:hideMark/>
          </w:tcPr>
          <w:p w14:paraId="60228BFA" w14:textId="77777777" w:rsidR="00DC6AAD" w:rsidRPr="00ED7B99" w:rsidRDefault="00DC6AAD" w:rsidP="00744E87">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35.404</w:t>
            </w:r>
          </w:p>
        </w:tc>
        <w:tc>
          <w:tcPr>
            <w:tcW w:w="960" w:type="dxa"/>
            <w:tcBorders>
              <w:top w:val="nil"/>
              <w:left w:val="nil"/>
              <w:bottom w:val="single" w:sz="4" w:space="0" w:color="auto"/>
              <w:right w:val="single" w:sz="4" w:space="0" w:color="auto"/>
            </w:tcBorders>
            <w:shd w:val="clear" w:color="000000" w:fill="DDEBF7"/>
            <w:noWrap/>
            <w:vAlign w:val="center"/>
            <w:hideMark/>
          </w:tcPr>
          <w:p w14:paraId="2860E983"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000000" w:fill="DDEBF7"/>
            <w:noWrap/>
            <w:vAlign w:val="center"/>
            <w:hideMark/>
          </w:tcPr>
          <w:p w14:paraId="28EB0B73"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000000" w:fill="DDEBF7"/>
            <w:noWrap/>
            <w:vAlign w:val="center"/>
            <w:hideMark/>
          </w:tcPr>
          <w:p w14:paraId="5C2311D8" w14:textId="77777777" w:rsidR="00DC6AAD" w:rsidRPr="00ED7B99" w:rsidRDefault="00DC6AAD" w:rsidP="00744E87">
            <w:pPr>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100,0%</w:t>
            </w:r>
          </w:p>
        </w:tc>
        <w:tc>
          <w:tcPr>
            <w:tcW w:w="960" w:type="dxa"/>
            <w:tcBorders>
              <w:top w:val="nil"/>
              <w:left w:val="nil"/>
              <w:bottom w:val="single" w:sz="4" w:space="0" w:color="auto"/>
              <w:right w:val="single" w:sz="4" w:space="0" w:color="auto"/>
            </w:tcBorders>
            <w:shd w:val="clear" w:color="000000" w:fill="DDEBF7"/>
            <w:noWrap/>
            <w:vAlign w:val="center"/>
            <w:hideMark/>
          </w:tcPr>
          <w:p w14:paraId="487067DB" w14:textId="77777777" w:rsidR="00DC6AAD" w:rsidRPr="00ED7B99" w:rsidRDefault="00DC6AAD" w:rsidP="00744E87">
            <w:pPr>
              <w:keepNext/>
              <w:spacing w:after="0" w:line="240" w:lineRule="auto"/>
              <w:jc w:val="center"/>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100,1%</w:t>
            </w:r>
          </w:p>
        </w:tc>
      </w:tr>
    </w:tbl>
    <w:p w14:paraId="7BBA4D76" w14:textId="77777777" w:rsidR="009C4F55" w:rsidRPr="00ED7B99" w:rsidRDefault="009C4F55" w:rsidP="009C4F55">
      <w:pPr>
        <w:rPr>
          <w:rFonts w:asciiTheme="majorHAnsi" w:hAnsiTheme="majorHAnsi" w:cstheme="majorHAnsi"/>
          <w:i/>
          <w:sz w:val="18"/>
          <w:szCs w:val="18"/>
        </w:rPr>
      </w:pPr>
      <w:r w:rsidRPr="00ED7B99">
        <w:rPr>
          <w:rFonts w:asciiTheme="majorHAnsi" w:hAnsiTheme="majorHAnsi" w:cstheme="majorHAnsi"/>
          <w:i/>
          <w:sz w:val="18"/>
          <w:szCs w:val="18"/>
        </w:rPr>
        <w:t>Izvor: BISNODE baza podataka; Federalni zavod za statistiku</w:t>
      </w:r>
    </w:p>
    <w:p w14:paraId="6E6A3EE5" w14:textId="10EC5CA5" w:rsidR="00DC6AAD" w:rsidRPr="009C4F55" w:rsidRDefault="009C4F55" w:rsidP="009C4F55">
      <w:pPr>
        <w:jc w:val="both"/>
        <w:rPr>
          <w:rFonts w:asciiTheme="majorHAnsi" w:hAnsiTheme="majorHAnsi" w:cstheme="majorHAnsi"/>
        </w:rPr>
      </w:pPr>
      <w:r w:rsidRPr="009C4F55">
        <w:rPr>
          <w:rFonts w:asciiTheme="majorHAnsi" w:hAnsiTheme="majorHAnsi" w:cstheme="majorHAnsi"/>
        </w:rPr>
        <w:t xml:space="preserve">Najveći udio privrednih subjekata BiH čine privredni subjekti Federacije BiH (66,49%), nakon čega slijede privredni subjekti sa područja Republike Srpske (29,5%) i Brčko distrikta BiH (4,1%). </w:t>
      </w:r>
      <w:r>
        <w:rPr>
          <w:rFonts w:asciiTheme="majorHAnsi" w:hAnsiTheme="majorHAnsi" w:cstheme="majorHAnsi"/>
        </w:rPr>
        <w:t xml:space="preserve">U ukupnoj strukturi privrednih subjekata BiH, najzastupljenija su mikro preduzeća (80%), potom mala preduzeća (16%) te srednja preduzeća (4%). Udio privrednih subjekata koji pripadaju sektoru male privrede u FBiH, RS, i BD BiH prati strukturu zastupljenosti preduzeća po veličini kakva je na nivou BiH. Uticaj COVID 19 pandemije vidljiv je na broju privrednih subjekata u FBiH u 2020. godini u kojoj je zabilježeno 182 ili 0,8% manje </w:t>
      </w:r>
      <w:r>
        <w:rPr>
          <w:rFonts w:asciiTheme="majorHAnsi" w:hAnsiTheme="majorHAnsi" w:cstheme="majorHAnsi"/>
        </w:rPr>
        <w:lastRenderedPageBreak/>
        <w:t>privrednih subjekata u odnosu na 2019. godinu. Ohrabruje činjenic</w:t>
      </w:r>
      <w:r w:rsidR="00E5792C">
        <w:rPr>
          <w:rFonts w:asciiTheme="majorHAnsi" w:hAnsiTheme="majorHAnsi" w:cstheme="majorHAnsi"/>
        </w:rPr>
        <w:t>a</w:t>
      </w:r>
      <w:r>
        <w:rPr>
          <w:rFonts w:asciiTheme="majorHAnsi" w:hAnsiTheme="majorHAnsi" w:cstheme="majorHAnsi"/>
        </w:rPr>
        <w:t xml:space="preserve"> ponovnog rasta broja privrednih subjekata koji pripadaju subjektima male privrede u FBiH u 2021. u odnosu na 2020. godinu ukazujući na postepeni oporavak privrede nakon pandemije u 2020. godini</w:t>
      </w:r>
      <w:r w:rsidRPr="005827F5">
        <w:rPr>
          <w:rFonts w:asciiTheme="majorHAnsi" w:hAnsiTheme="majorHAnsi" w:cstheme="majorHAnsi"/>
        </w:rPr>
        <w:t xml:space="preserve">. </w:t>
      </w:r>
      <w:r w:rsidR="00E5792C" w:rsidRPr="005827F5">
        <w:rPr>
          <w:rFonts w:asciiTheme="majorHAnsi" w:hAnsiTheme="majorHAnsi" w:cstheme="majorHAnsi"/>
        </w:rPr>
        <w:t>Za razliku od Federacije BiH, broj privrednih subjekata koji pripadaju subjektima male privrede u RS i BD BiH bilježi kontinuiran rast od 2018. godine te COVID 19 pandemija, prema dostupnim podacima, nije ostavila negativan utjecaj na smanjenje ukupnog broja ovih subjekata ali svakako je ostavila posljedice na smanjenje obima poslovanja.</w:t>
      </w:r>
      <w:r w:rsidR="00E5792C">
        <w:rPr>
          <w:rFonts w:asciiTheme="majorHAnsi" w:hAnsiTheme="majorHAnsi" w:cstheme="majorHAnsi"/>
        </w:rPr>
        <w:t xml:space="preserve"> </w:t>
      </w:r>
    </w:p>
    <w:p w14:paraId="5D15C385" w14:textId="73382375" w:rsidR="009C4F55" w:rsidRPr="00ED7B99" w:rsidRDefault="00E5792C" w:rsidP="009C4F55">
      <w:pPr>
        <w:jc w:val="both"/>
        <w:rPr>
          <w:rFonts w:asciiTheme="majorHAnsi" w:hAnsiTheme="majorHAnsi" w:cstheme="majorHAnsi"/>
        </w:rPr>
      </w:pPr>
      <w:r>
        <w:rPr>
          <w:rFonts w:asciiTheme="majorHAnsi" w:hAnsiTheme="majorHAnsi" w:cstheme="majorHAnsi"/>
        </w:rPr>
        <w:t>Ukoliko se pak posmatra</w:t>
      </w:r>
      <w:r w:rsidR="009C4F55" w:rsidRPr="00ED7B99">
        <w:rPr>
          <w:rFonts w:asciiTheme="majorHAnsi" w:hAnsiTheme="majorHAnsi" w:cstheme="majorHAnsi"/>
        </w:rPr>
        <w:t xml:space="preserve"> broj subjekata male privrede u Federaciji BiH </w:t>
      </w:r>
      <w:r>
        <w:rPr>
          <w:rFonts w:asciiTheme="majorHAnsi" w:hAnsiTheme="majorHAnsi" w:cstheme="majorHAnsi"/>
        </w:rPr>
        <w:t xml:space="preserve"> koji uključuje privredne subjekte i obrte odnosno fizička lica broj subjekata male privrede u FBiH </w:t>
      </w:r>
      <w:r w:rsidR="009C4F55" w:rsidRPr="00ED7B99">
        <w:rPr>
          <w:rFonts w:asciiTheme="majorHAnsi" w:hAnsiTheme="majorHAnsi" w:cstheme="majorHAnsi"/>
        </w:rPr>
        <w:t>se kontinuirano povećavao od 2018. godine kada je iznosio 74.188 do 76.727 u 2021. godini. Procentualno manji rast zabilježen je 2020. godine u odnosu na uporedni godišnji procentualni rast u ostalim posmatranim godinama, što je za očekivati uvažavajući COVID 19 pandemiju koja se desila 2020. godine (Tabela 1</w:t>
      </w:r>
      <w:r>
        <w:rPr>
          <w:rFonts w:asciiTheme="majorHAnsi" w:hAnsiTheme="majorHAnsi" w:cstheme="majorHAnsi"/>
        </w:rPr>
        <w:t>1</w:t>
      </w:r>
      <w:r w:rsidR="009C4F55" w:rsidRPr="00ED7B99">
        <w:rPr>
          <w:rFonts w:asciiTheme="majorHAnsi" w:hAnsiTheme="majorHAnsi" w:cstheme="majorHAnsi"/>
        </w:rPr>
        <w:t xml:space="preserve">.). </w:t>
      </w:r>
    </w:p>
    <w:p w14:paraId="7BE107C4" w14:textId="6D75B7EE"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11</w:t>
      </w:r>
      <w:r w:rsidR="0054018A" w:rsidRPr="00ED7B99">
        <w:rPr>
          <w:rFonts w:asciiTheme="majorHAnsi" w:hAnsiTheme="majorHAnsi" w:cstheme="majorHAnsi"/>
        </w:rPr>
        <w:fldChar w:fldCharType="end"/>
      </w:r>
      <w:r w:rsidRPr="00ED7B99">
        <w:rPr>
          <w:rFonts w:asciiTheme="majorHAnsi" w:hAnsiTheme="majorHAnsi" w:cstheme="majorHAnsi"/>
        </w:rPr>
        <w:t>. Struktura subjekata male privrede u FBiH u periodu 2018.-2021. godina</w:t>
      </w:r>
    </w:p>
    <w:tbl>
      <w:tblPr>
        <w:tblStyle w:val="a7"/>
        <w:tblW w:w="7083" w:type="dxa"/>
        <w:jc w:val="center"/>
        <w:tblBorders>
          <w:top w:val="single" w:sz="4" w:space="0" w:color="B5C1DF"/>
          <w:left w:val="single" w:sz="4" w:space="0" w:color="B5C1DF"/>
          <w:bottom w:val="single" w:sz="4" w:space="0" w:color="B5C1DF"/>
          <w:right w:val="single" w:sz="4" w:space="0" w:color="B5C1DF"/>
          <w:insideH w:val="single" w:sz="4" w:space="0" w:color="B5C1DF"/>
          <w:insideV w:val="single" w:sz="4" w:space="0" w:color="B5C1DF"/>
        </w:tblBorders>
        <w:tblLayout w:type="fixed"/>
        <w:tblLook w:val="04A0" w:firstRow="1" w:lastRow="0" w:firstColumn="1" w:lastColumn="0" w:noHBand="0" w:noVBand="1"/>
      </w:tblPr>
      <w:tblGrid>
        <w:gridCol w:w="3075"/>
        <w:gridCol w:w="1000"/>
        <w:gridCol w:w="1000"/>
        <w:gridCol w:w="1000"/>
        <w:gridCol w:w="1008"/>
      </w:tblGrid>
      <w:tr w:rsidR="003422A9" w:rsidRPr="00ED7B99" w14:paraId="7F820AAF" w14:textId="77777777" w:rsidTr="009734C8">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083" w:type="dxa"/>
            <w:gridSpan w:val="5"/>
            <w:shd w:val="clear" w:color="auto" w:fill="BCD9DE" w:themeFill="accent5" w:themeFillTint="66"/>
          </w:tcPr>
          <w:p w14:paraId="1E78131D" w14:textId="77777777" w:rsidR="003422A9" w:rsidRPr="00ED7B99" w:rsidRDefault="003422A9">
            <w:pPr>
              <w:jc w:val="center"/>
              <w:rPr>
                <w:rFonts w:asciiTheme="majorHAnsi" w:hAnsiTheme="majorHAnsi" w:cstheme="majorHAnsi"/>
                <w:color w:val="000000"/>
                <w:sz w:val="18"/>
                <w:szCs w:val="18"/>
              </w:rPr>
            </w:pPr>
            <w:r w:rsidRPr="00ED7B99">
              <w:rPr>
                <w:rFonts w:asciiTheme="majorHAnsi" w:hAnsiTheme="majorHAnsi" w:cstheme="majorHAnsi"/>
                <w:color w:val="000000"/>
                <w:sz w:val="18"/>
                <w:szCs w:val="18"/>
              </w:rPr>
              <w:t>Ukupno subjekata male privrede</w:t>
            </w:r>
          </w:p>
        </w:tc>
      </w:tr>
      <w:tr w:rsidR="003422A9" w:rsidRPr="00ED7B99" w14:paraId="54641316" w14:textId="77777777" w:rsidTr="009734C8">
        <w:trPr>
          <w:trHeight w:val="153"/>
          <w:jc w:val="center"/>
        </w:trPr>
        <w:tc>
          <w:tcPr>
            <w:cnfStyle w:val="001000000000" w:firstRow="0" w:lastRow="0" w:firstColumn="1" w:lastColumn="0" w:oddVBand="0" w:evenVBand="0" w:oddHBand="0" w:evenHBand="0" w:firstRowFirstColumn="0" w:firstRowLastColumn="0" w:lastRowFirstColumn="0" w:lastRowLastColumn="0"/>
            <w:tcW w:w="3075" w:type="dxa"/>
          </w:tcPr>
          <w:p w14:paraId="3AE0E2E5" w14:textId="77777777" w:rsidR="003422A9" w:rsidRPr="00ED7B99" w:rsidRDefault="003422A9">
            <w:pPr>
              <w:rPr>
                <w:rFonts w:asciiTheme="majorHAnsi" w:hAnsiTheme="majorHAnsi" w:cstheme="majorHAnsi"/>
                <w:color w:val="000000"/>
                <w:sz w:val="18"/>
                <w:szCs w:val="18"/>
              </w:rPr>
            </w:pPr>
          </w:p>
        </w:tc>
        <w:tc>
          <w:tcPr>
            <w:tcW w:w="1000" w:type="dxa"/>
          </w:tcPr>
          <w:p w14:paraId="606D46D4" w14:textId="77777777" w:rsidR="003422A9" w:rsidRPr="00ED7B99" w:rsidRDefault="003422A9" w:rsidP="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2018</w:t>
            </w:r>
          </w:p>
        </w:tc>
        <w:tc>
          <w:tcPr>
            <w:tcW w:w="1000" w:type="dxa"/>
          </w:tcPr>
          <w:p w14:paraId="5B431279" w14:textId="77777777" w:rsidR="003422A9" w:rsidRPr="00ED7B99" w:rsidRDefault="003422A9" w:rsidP="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2019</w:t>
            </w:r>
          </w:p>
        </w:tc>
        <w:tc>
          <w:tcPr>
            <w:tcW w:w="1000" w:type="dxa"/>
          </w:tcPr>
          <w:p w14:paraId="37289588" w14:textId="77777777" w:rsidR="003422A9" w:rsidRPr="00ED7B99" w:rsidRDefault="003422A9" w:rsidP="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2020</w:t>
            </w:r>
          </w:p>
        </w:tc>
        <w:tc>
          <w:tcPr>
            <w:tcW w:w="1008" w:type="dxa"/>
          </w:tcPr>
          <w:p w14:paraId="2AFD59A0" w14:textId="77777777" w:rsidR="003422A9" w:rsidRPr="00ED7B99" w:rsidRDefault="003422A9" w:rsidP="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2021</w:t>
            </w:r>
          </w:p>
        </w:tc>
      </w:tr>
      <w:tr w:rsidR="003422A9" w:rsidRPr="00ED7B99" w14:paraId="038B8B45" w14:textId="77777777" w:rsidTr="009734C8">
        <w:trPr>
          <w:trHeight w:val="315"/>
          <w:jc w:val="center"/>
        </w:trPr>
        <w:tc>
          <w:tcPr>
            <w:cnfStyle w:val="001000000000" w:firstRow="0" w:lastRow="0" w:firstColumn="1" w:lastColumn="0" w:oddVBand="0" w:evenVBand="0" w:oddHBand="0" w:evenHBand="0" w:firstRowFirstColumn="0" w:firstRowLastColumn="0" w:lastRowFirstColumn="0" w:lastRowLastColumn="0"/>
            <w:tcW w:w="3075" w:type="dxa"/>
          </w:tcPr>
          <w:p w14:paraId="1E3D032B" w14:textId="77777777" w:rsidR="003422A9"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Mikro preduzeća</w:t>
            </w:r>
          </w:p>
        </w:tc>
        <w:tc>
          <w:tcPr>
            <w:tcW w:w="1000" w:type="dxa"/>
          </w:tcPr>
          <w:p w14:paraId="25AF49BC"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18.188</w:t>
            </w:r>
          </w:p>
        </w:tc>
        <w:tc>
          <w:tcPr>
            <w:tcW w:w="1000" w:type="dxa"/>
          </w:tcPr>
          <w:p w14:paraId="50AC8537"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18.186</w:t>
            </w:r>
          </w:p>
        </w:tc>
        <w:tc>
          <w:tcPr>
            <w:tcW w:w="1000" w:type="dxa"/>
          </w:tcPr>
          <w:p w14:paraId="057F799B"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18.218</w:t>
            </w:r>
          </w:p>
        </w:tc>
        <w:tc>
          <w:tcPr>
            <w:tcW w:w="1008" w:type="dxa"/>
          </w:tcPr>
          <w:p w14:paraId="0668F4FF"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18.990</w:t>
            </w:r>
          </w:p>
        </w:tc>
      </w:tr>
      <w:tr w:rsidR="003422A9" w:rsidRPr="00ED7B99" w14:paraId="13EAD315" w14:textId="77777777" w:rsidTr="009734C8">
        <w:trPr>
          <w:trHeight w:val="299"/>
          <w:jc w:val="center"/>
        </w:trPr>
        <w:tc>
          <w:tcPr>
            <w:cnfStyle w:val="001000000000" w:firstRow="0" w:lastRow="0" w:firstColumn="1" w:lastColumn="0" w:oddVBand="0" w:evenVBand="0" w:oddHBand="0" w:evenHBand="0" w:firstRowFirstColumn="0" w:firstRowLastColumn="0" w:lastRowFirstColumn="0" w:lastRowLastColumn="0"/>
            <w:tcW w:w="3075" w:type="dxa"/>
          </w:tcPr>
          <w:p w14:paraId="1B6A8520" w14:textId="77777777" w:rsidR="003422A9"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Mikro preduzeća (%)</w:t>
            </w:r>
          </w:p>
        </w:tc>
        <w:tc>
          <w:tcPr>
            <w:tcW w:w="1000" w:type="dxa"/>
          </w:tcPr>
          <w:p w14:paraId="6081D2CC"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24,52%</w:t>
            </w:r>
          </w:p>
        </w:tc>
        <w:tc>
          <w:tcPr>
            <w:tcW w:w="1000" w:type="dxa"/>
          </w:tcPr>
          <w:p w14:paraId="6F80C275"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24,20%</w:t>
            </w:r>
          </w:p>
        </w:tc>
        <w:tc>
          <w:tcPr>
            <w:tcW w:w="1000" w:type="dxa"/>
          </w:tcPr>
          <w:p w14:paraId="39B1075A"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24,13%</w:t>
            </w:r>
          </w:p>
        </w:tc>
        <w:tc>
          <w:tcPr>
            <w:tcW w:w="1008" w:type="dxa"/>
          </w:tcPr>
          <w:p w14:paraId="5773E37B"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24,75%</w:t>
            </w:r>
          </w:p>
        </w:tc>
      </w:tr>
      <w:tr w:rsidR="003422A9" w:rsidRPr="00ED7B99" w14:paraId="1E2284A6" w14:textId="77777777" w:rsidTr="009734C8">
        <w:trPr>
          <w:trHeight w:val="315"/>
          <w:jc w:val="center"/>
        </w:trPr>
        <w:tc>
          <w:tcPr>
            <w:cnfStyle w:val="001000000000" w:firstRow="0" w:lastRow="0" w:firstColumn="1" w:lastColumn="0" w:oddVBand="0" w:evenVBand="0" w:oddHBand="0" w:evenHBand="0" w:firstRowFirstColumn="0" w:firstRowLastColumn="0" w:lastRowFirstColumn="0" w:lastRowLastColumn="0"/>
            <w:tcW w:w="3075" w:type="dxa"/>
          </w:tcPr>
          <w:p w14:paraId="32B08799" w14:textId="77777777" w:rsidR="003422A9"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Mala preduzeća</w:t>
            </w:r>
          </w:p>
        </w:tc>
        <w:tc>
          <w:tcPr>
            <w:tcW w:w="1000" w:type="dxa"/>
          </w:tcPr>
          <w:p w14:paraId="394ED08C"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3.745</w:t>
            </w:r>
          </w:p>
        </w:tc>
        <w:tc>
          <w:tcPr>
            <w:tcW w:w="1000" w:type="dxa"/>
          </w:tcPr>
          <w:p w14:paraId="1FA36E24"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3.858</w:t>
            </w:r>
          </w:p>
        </w:tc>
        <w:tc>
          <w:tcPr>
            <w:tcW w:w="1000" w:type="dxa"/>
          </w:tcPr>
          <w:p w14:paraId="5BC52867"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3.680</w:t>
            </w:r>
          </w:p>
        </w:tc>
        <w:tc>
          <w:tcPr>
            <w:tcW w:w="1008" w:type="dxa"/>
          </w:tcPr>
          <w:p w14:paraId="35ABE2A4"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3.630</w:t>
            </w:r>
          </w:p>
        </w:tc>
      </w:tr>
      <w:tr w:rsidR="003422A9" w:rsidRPr="00ED7B99" w14:paraId="7FD06BFA" w14:textId="77777777" w:rsidTr="009734C8">
        <w:trPr>
          <w:trHeight w:val="315"/>
          <w:jc w:val="center"/>
        </w:trPr>
        <w:tc>
          <w:tcPr>
            <w:cnfStyle w:val="001000000000" w:firstRow="0" w:lastRow="0" w:firstColumn="1" w:lastColumn="0" w:oddVBand="0" w:evenVBand="0" w:oddHBand="0" w:evenHBand="0" w:firstRowFirstColumn="0" w:firstRowLastColumn="0" w:lastRowFirstColumn="0" w:lastRowLastColumn="0"/>
            <w:tcW w:w="3075" w:type="dxa"/>
          </w:tcPr>
          <w:p w14:paraId="2D478A54" w14:textId="77777777" w:rsidR="003422A9"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Mala preduzeća  (%)</w:t>
            </w:r>
          </w:p>
        </w:tc>
        <w:tc>
          <w:tcPr>
            <w:tcW w:w="1000" w:type="dxa"/>
          </w:tcPr>
          <w:p w14:paraId="2C9290EF"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5,05%</w:t>
            </w:r>
          </w:p>
        </w:tc>
        <w:tc>
          <w:tcPr>
            <w:tcW w:w="1000" w:type="dxa"/>
          </w:tcPr>
          <w:p w14:paraId="0DCEE131"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5,13%</w:t>
            </w:r>
          </w:p>
        </w:tc>
        <w:tc>
          <w:tcPr>
            <w:tcW w:w="1000" w:type="dxa"/>
          </w:tcPr>
          <w:p w14:paraId="54A1C966"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4,87%</w:t>
            </w:r>
          </w:p>
        </w:tc>
        <w:tc>
          <w:tcPr>
            <w:tcW w:w="1008" w:type="dxa"/>
          </w:tcPr>
          <w:p w14:paraId="5DB83B86"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4,73%</w:t>
            </w:r>
          </w:p>
        </w:tc>
      </w:tr>
      <w:tr w:rsidR="003422A9" w:rsidRPr="00ED7B99" w14:paraId="59D8FF5B" w14:textId="77777777" w:rsidTr="009734C8">
        <w:trPr>
          <w:trHeight w:val="315"/>
          <w:jc w:val="center"/>
        </w:trPr>
        <w:tc>
          <w:tcPr>
            <w:cnfStyle w:val="001000000000" w:firstRow="0" w:lastRow="0" w:firstColumn="1" w:lastColumn="0" w:oddVBand="0" w:evenVBand="0" w:oddHBand="0" w:evenHBand="0" w:firstRowFirstColumn="0" w:firstRowLastColumn="0" w:lastRowFirstColumn="0" w:lastRowLastColumn="0"/>
            <w:tcW w:w="3075" w:type="dxa"/>
          </w:tcPr>
          <w:p w14:paraId="79CB5006" w14:textId="77777777" w:rsidR="003422A9"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Srednja preduzeća</w:t>
            </w:r>
          </w:p>
        </w:tc>
        <w:tc>
          <w:tcPr>
            <w:tcW w:w="1000" w:type="dxa"/>
          </w:tcPr>
          <w:p w14:paraId="07CA0047"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918</w:t>
            </w:r>
          </w:p>
        </w:tc>
        <w:tc>
          <w:tcPr>
            <w:tcW w:w="1000" w:type="dxa"/>
          </w:tcPr>
          <w:p w14:paraId="6B794E46"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956</w:t>
            </w:r>
          </w:p>
        </w:tc>
        <w:tc>
          <w:tcPr>
            <w:tcW w:w="1000" w:type="dxa"/>
          </w:tcPr>
          <w:p w14:paraId="27BCD342"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920</w:t>
            </w:r>
          </w:p>
        </w:tc>
        <w:tc>
          <w:tcPr>
            <w:tcW w:w="1008" w:type="dxa"/>
          </w:tcPr>
          <w:p w14:paraId="12016053"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919</w:t>
            </w:r>
          </w:p>
        </w:tc>
      </w:tr>
      <w:tr w:rsidR="003422A9" w:rsidRPr="00ED7B99" w14:paraId="0C0329E9" w14:textId="77777777" w:rsidTr="009734C8">
        <w:trPr>
          <w:trHeight w:val="315"/>
          <w:jc w:val="center"/>
        </w:trPr>
        <w:tc>
          <w:tcPr>
            <w:cnfStyle w:val="001000000000" w:firstRow="0" w:lastRow="0" w:firstColumn="1" w:lastColumn="0" w:oddVBand="0" w:evenVBand="0" w:oddHBand="0" w:evenHBand="0" w:firstRowFirstColumn="0" w:firstRowLastColumn="0" w:lastRowFirstColumn="0" w:lastRowLastColumn="0"/>
            <w:tcW w:w="3075" w:type="dxa"/>
          </w:tcPr>
          <w:p w14:paraId="74C93087" w14:textId="77777777" w:rsidR="003422A9"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Srednja preduzeća (%)</w:t>
            </w:r>
          </w:p>
        </w:tc>
        <w:tc>
          <w:tcPr>
            <w:tcW w:w="1000" w:type="dxa"/>
          </w:tcPr>
          <w:p w14:paraId="6557AF84"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1,24%</w:t>
            </w:r>
          </w:p>
        </w:tc>
        <w:tc>
          <w:tcPr>
            <w:tcW w:w="1000" w:type="dxa"/>
          </w:tcPr>
          <w:p w14:paraId="6FF53A2F"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1,27%</w:t>
            </w:r>
          </w:p>
        </w:tc>
        <w:tc>
          <w:tcPr>
            <w:tcW w:w="1000" w:type="dxa"/>
          </w:tcPr>
          <w:p w14:paraId="2DC6181C"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1,22%</w:t>
            </w:r>
          </w:p>
        </w:tc>
        <w:tc>
          <w:tcPr>
            <w:tcW w:w="1008" w:type="dxa"/>
          </w:tcPr>
          <w:p w14:paraId="2397A78A"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1,20%</w:t>
            </w:r>
          </w:p>
        </w:tc>
      </w:tr>
      <w:tr w:rsidR="003422A9" w:rsidRPr="00ED7B99" w14:paraId="2C1B7FE0" w14:textId="77777777" w:rsidTr="009734C8">
        <w:trPr>
          <w:trHeight w:val="315"/>
          <w:jc w:val="center"/>
        </w:trPr>
        <w:tc>
          <w:tcPr>
            <w:cnfStyle w:val="001000000000" w:firstRow="0" w:lastRow="0" w:firstColumn="1" w:lastColumn="0" w:oddVBand="0" w:evenVBand="0" w:oddHBand="0" w:evenHBand="0" w:firstRowFirstColumn="0" w:firstRowLastColumn="0" w:lastRowFirstColumn="0" w:lastRowLastColumn="0"/>
            <w:tcW w:w="3075" w:type="dxa"/>
          </w:tcPr>
          <w:p w14:paraId="706B7BC6" w14:textId="77777777" w:rsidR="003422A9"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Obrti - fizička lica</w:t>
            </w:r>
          </w:p>
        </w:tc>
        <w:tc>
          <w:tcPr>
            <w:tcW w:w="1000" w:type="dxa"/>
          </w:tcPr>
          <w:p w14:paraId="66785A9B"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51.337</w:t>
            </w:r>
          </w:p>
        </w:tc>
        <w:tc>
          <w:tcPr>
            <w:tcW w:w="1000" w:type="dxa"/>
          </w:tcPr>
          <w:p w14:paraId="3238D9EE"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52.161</w:t>
            </w:r>
          </w:p>
        </w:tc>
        <w:tc>
          <w:tcPr>
            <w:tcW w:w="1000" w:type="dxa"/>
          </w:tcPr>
          <w:p w14:paraId="4A0D4F56"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52.687</w:t>
            </w:r>
          </w:p>
        </w:tc>
        <w:tc>
          <w:tcPr>
            <w:tcW w:w="1008" w:type="dxa"/>
          </w:tcPr>
          <w:p w14:paraId="7BA961D7"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53.188</w:t>
            </w:r>
          </w:p>
        </w:tc>
      </w:tr>
      <w:tr w:rsidR="003422A9" w:rsidRPr="00ED7B99" w14:paraId="7A4A82BC" w14:textId="77777777" w:rsidTr="009734C8">
        <w:trPr>
          <w:trHeight w:val="315"/>
          <w:jc w:val="center"/>
        </w:trPr>
        <w:tc>
          <w:tcPr>
            <w:cnfStyle w:val="001000000000" w:firstRow="0" w:lastRow="0" w:firstColumn="1" w:lastColumn="0" w:oddVBand="0" w:evenVBand="0" w:oddHBand="0" w:evenHBand="0" w:firstRowFirstColumn="0" w:firstRowLastColumn="0" w:lastRowFirstColumn="0" w:lastRowLastColumn="0"/>
            <w:tcW w:w="3075" w:type="dxa"/>
          </w:tcPr>
          <w:p w14:paraId="36057723" w14:textId="77777777" w:rsidR="003422A9"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Obrti - fizička lica  (%)</w:t>
            </w:r>
          </w:p>
        </w:tc>
        <w:tc>
          <w:tcPr>
            <w:tcW w:w="1000" w:type="dxa"/>
          </w:tcPr>
          <w:p w14:paraId="0AB84D7D"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69,20%</w:t>
            </w:r>
          </w:p>
        </w:tc>
        <w:tc>
          <w:tcPr>
            <w:tcW w:w="1000" w:type="dxa"/>
          </w:tcPr>
          <w:p w14:paraId="5B816ABB"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69,40%</w:t>
            </w:r>
          </w:p>
        </w:tc>
        <w:tc>
          <w:tcPr>
            <w:tcW w:w="1000" w:type="dxa"/>
          </w:tcPr>
          <w:p w14:paraId="0EE87C3A"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69,78%</w:t>
            </w:r>
          </w:p>
        </w:tc>
        <w:tc>
          <w:tcPr>
            <w:tcW w:w="1008" w:type="dxa"/>
          </w:tcPr>
          <w:p w14:paraId="07F26CF4"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69,32%</w:t>
            </w:r>
          </w:p>
        </w:tc>
      </w:tr>
      <w:tr w:rsidR="003422A9" w:rsidRPr="00ED7B99" w14:paraId="773F07F2" w14:textId="77777777" w:rsidTr="009734C8">
        <w:trPr>
          <w:trHeight w:val="315"/>
          <w:jc w:val="center"/>
        </w:trPr>
        <w:tc>
          <w:tcPr>
            <w:cnfStyle w:val="001000000000" w:firstRow="0" w:lastRow="0" w:firstColumn="1" w:lastColumn="0" w:oddVBand="0" w:evenVBand="0" w:oddHBand="0" w:evenHBand="0" w:firstRowFirstColumn="0" w:firstRowLastColumn="0" w:lastRowFirstColumn="0" w:lastRowLastColumn="0"/>
            <w:tcW w:w="3075" w:type="dxa"/>
          </w:tcPr>
          <w:p w14:paraId="17866C0C" w14:textId="77777777" w:rsidR="003422A9"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Federacija BiH</w:t>
            </w:r>
          </w:p>
        </w:tc>
        <w:tc>
          <w:tcPr>
            <w:tcW w:w="1000" w:type="dxa"/>
          </w:tcPr>
          <w:p w14:paraId="1AEBC4AE"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74.188</w:t>
            </w:r>
          </w:p>
        </w:tc>
        <w:tc>
          <w:tcPr>
            <w:tcW w:w="1000" w:type="dxa"/>
          </w:tcPr>
          <w:p w14:paraId="61E50327"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75.161</w:t>
            </w:r>
          </w:p>
        </w:tc>
        <w:tc>
          <w:tcPr>
            <w:tcW w:w="1000" w:type="dxa"/>
          </w:tcPr>
          <w:p w14:paraId="29B6D4FF"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75.505</w:t>
            </w:r>
          </w:p>
        </w:tc>
        <w:tc>
          <w:tcPr>
            <w:tcW w:w="1008" w:type="dxa"/>
          </w:tcPr>
          <w:p w14:paraId="66160EB4" w14:textId="77777777" w:rsidR="003422A9"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D7B99">
              <w:rPr>
                <w:rFonts w:asciiTheme="majorHAnsi" w:hAnsiTheme="majorHAnsi" w:cstheme="majorHAnsi"/>
                <w:color w:val="000000"/>
                <w:sz w:val="20"/>
                <w:szCs w:val="20"/>
              </w:rPr>
              <w:t>76.727</w:t>
            </w:r>
          </w:p>
        </w:tc>
      </w:tr>
    </w:tbl>
    <w:p w14:paraId="4820D915" w14:textId="77777777" w:rsidR="00E440CE" w:rsidRPr="00ED7B99" w:rsidRDefault="003422A9">
      <w:pPr>
        <w:jc w:val="center"/>
        <w:rPr>
          <w:rFonts w:asciiTheme="majorHAnsi" w:hAnsiTheme="majorHAnsi" w:cstheme="majorHAnsi"/>
          <w:i/>
          <w:sz w:val="18"/>
          <w:szCs w:val="18"/>
        </w:rPr>
      </w:pPr>
      <w:r w:rsidRPr="00ED7B99">
        <w:rPr>
          <w:rFonts w:asciiTheme="majorHAnsi" w:hAnsiTheme="majorHAnsi" w:cstheme="majorHAnsi"/>
          <w:i/>
          <w:sz w:val="18"/>
          <w:szCs w:val="18"/>
        </w:rPr>
        <w:t>Izvor: BISNODE baza podataka; Federalni zavod za statistiku</w:t>
      </w:r>
    </w:p>
    <w:p w14:paraId="6215F212" w14:textId="52A37528" w:rsidR="00942633" w:rsidRPr="00ED7B99" w:rsidRDefault="00942633" w:rsidP="00942633">
      <w:pPr>
        <w:jc w:val="both"/>
        <w:rPr>
          <w:rFonts w:asciiTheme="majorHAnsi" w:hAnsiTheme="majorHAnsi" w:cstheme="majorHAnsi"/>
        </w:rPr>
      </w:pPr>
      <w:r w:rsidRPr="00ED7B99">
        <w:rPr>
          <w:rFonts w:asciiTheme="majorHAnsi" w:hAnsiTheme="majorHAnsi" w:cstheme="majorHAnsi"/>
          <w:iCs/>
        </w:rPr>
        <w:t xml:space="preserve">U ukupnoj strukturi subjekata male privrede u Federaciji BiH preovladavaju obrtnici – fizička lica, sa oko 70%, dok ukoliko se posmatraju </w:t>
      </w:r>
      <w:r w:rsidR="00E5792C">
        <w:rPr>
          <w:rFonts w:asciiTheme="majorHAnsi" w:hAnsiTheme="majorHAnsi" w:cstheme="majorHAnsi"/>
          <w:iCs/>
        </w:rPr>
        <w:t>preduzeća</w:t>
      </w:r>
      <w:r w:rsidRPr="00ED7B99">
        <w:rPr>
          <w:rFonts w:asciiTheme="majorHAnsi" w:hAnsiTheme="majorHAnsi" w:cstheme="majorHAnsi"/>
          <w:iCs/>
        </w:rPr>
        <w:t>, najveći je udio mikro preduzeća, odnosno preduzeća koja imaju do 9 zaposlenih (24,75% u ukupnoj strukturi male privrede, odnosno 80,67% u strukturi MSP-a). U strukturi MSP-a zatim slij</w:t>
      </w:r>
      <w:r w:rsidR="00E5792C">
        <w:rPr>
          <w:rFonts w:asciiTheme="majorHAnsi" w:hAnsiTheme="majorHAnsi" w:cstheme="majorHAnsi"/>
          <w:iCs/>
        </w:rPr>
        <w:t>e</w:t>
      </w:r>
      <w:r w:rsidRPr="00ED7B99">
        <w:rPr>
          <w:rFonts w:asciiTheme="majorHAnsi" w:hAnsiTheme="majorHAnsi" w:cstheme="majorHAnsi"/>
          <w:iCs/>
        </w:rPr>
        <w:t>de mala preduzeća (15,42%), te srednja preduzeća sa udjelom od 3,9% u ukup</w:t>
      </w:r>
      <w:r w:rsidR="00E5792C">
        <w:rPr>
          <w:rFonts w:asciiTheme="majorHAnsi" w:hAnsiTheme="majorHAnsi" w:cstheme="majorHAnsi"/>
          <w:iCs/>
        </w:rPr>
        <w:t>n</w:t>
      </w:r>
      <w:r w:rsidRPr="00ED7B99">
        <w:rPr>
          <w:rFonts w:asciiTheme="majorHAnsi" w:hAnsiTheme="majorHAnsi" w:cstheme="majorHAnsi"/>
          <w:iCs/>
        </w:rPr>
        <w:t xml:space="preserve">om broju malih i srednjih preduzeća u FBiH u 2021. godini. Ujedno u ovoj kategoriji subjekata male privrede odnosno kategoriji srednjih preduzeća zabilježen je najveći pad u posmatranom periodu, čiji broj se u 2021. godini u odnosu na 2020. godinu i 2019. godinu smanjio za 1 odnosno za 37, respektivno. Također, </w:t>
      </w:r>
      <w:r w:rsidRPr="00ED7B99">
        <w:rPr>
          <w:rFonts w:asciiTheme="majorHAnsi" w:hAnsiTheme="majorHAnsi" w:cstheme="majorHAnsi"/>
        </w:rPr>
        <w:t>broj malih preduzeća u Federaciji BiH zabilježio je značajan pad u 2021. kada je iznosio 3.630 u odnosu na 2019. godinu kada je broj ovih subjekata malie privrede iznosio 3.858. Sa druge strane, ukoliko se p</w:t>
      </w:r>
      <w:r w:rsidR="00E5792C">
        <w:rPr>
          <w:rFonts w:asciiTheme="majorHAnsi" w:hAnsiTheme="majorHAnsi" w:cstheme="majorHAnsi"/>
        </w:rPr>
        <w:t>o</w:t>
      </w:r>
      <w:r w:rsidRPr="00ED7B99">
        <w:rPr>
          <w:rFonts w:asciiTheme="majorHAnsi" w:hAnsiTheme="majorHAnsi" w:cstheme="majorHAnsi"/>
        </w:rPr>
        <w:t>smatra broj mikropreduzeća, moguće je uočiti kontinuiran porast broja ovih subjek</w:t>
      </w:r>
      <w:r w:rsidR="00E5792C">
        <w:rPr>
          <w:rFonts w:asciiTheme="majorHAnsi" w:hAnsiTheme="majorHAnsi" w:cstheme="majorHAnsi"/>
        </w:rPr>
        <w:t>a</w:t>
      </w:r>
      <w:r w:rsidRPr="00ED7B99">
        <w:rPr>
          <w:rFonts w:asciiTheme="majorHAnsi" w:hAnsiTheme="majorHAnsi" w:cstheme="majorHAnsi"/>
        </w:rPr>
        <w:t>ta male privrede u FBiH od 2018. godine. Naime, broj mikro preduzeća u FBiH u 2021. godini veći je za 804 ili cca. 5% u odnosu na 2019. godinu što je svakako ohrabrujući podatak i značajna implikacija za naredni planski period.</w:t>
      </w:r>
    </w:p>
    <w:p w14:paraId="7EF48BBB" w14:textId="765FE8B6" w:rsidR="00942633" w:rsidRPr="00ED7B99" w:rsidRDefault="00942633" w:rsidP="00942633">
      <w:pPr>
        <w:jc w:val="both"/>
        <w:rPr>
          <w:rFonts w:asciiTheme="majorHAnsi" w:hAnsiTheme="majorHAnsi" w:cstheme="majorHAnsi"/>
          <w:iCs/>
        </w:rPr>
      </w:pPr>
      <w:r w:rsidRPr="00ED7B99">
        <w:rPr>
          <w:rFonts w:asciiTheme="majorHAnsi" w:hAnsiTheme="majorHAnsi" w:cstheme="majorHAnsi"/>
        </w:rPr>
        <w:t xml:space="preserve">Još jedna od ohrabrujućih činjenica jeste i da se broj obrta na području Federacije BiH kontinuirano povećava od 2018. godine, iako su obrtnici bili u najvećoj mjeri pogođeni restriktivnim mjerama definisanim kao odgovor na COVID-19 pandemiju u 2020. godini. </w:t>
      </w:r>
      <w:r w:rsidRPr="00ED7B99">
        <w:rPr>
          <w:rFonts w:asciiTheme="majorHAnsi" w:hAnsiTheme="majorHAnsi" w:cstheme="majorHAnsi"/>
        </w:rPr>
        <w:lastRenderedPageBreak/>
        <w:t xml:space="preserve">Međutim, brojni nalazi istraživanja širom svijeta ukazuju da je kriza stvorila i priliku za određene djelatnosti, preduzeća i poduzetnika. Nažalost, nisu dostupni objedinjeni podaci o dinamici poduzetničke aktivnosti (broju zatvorenih i broju otvorenih obrta i prirednih društava) na nivou FBiH što bi svakako dalo kvalitetniji uvid u realniju sliku očuvanja postojećih i otvaranja novih biznisa u FBiH. </w:t>
      </w:r>
    </w:p>
    <w:p w14:paraId="2F34D25F" w14:textId="77777777" w:rsidR="003422A9" w:rsidRPr="00ED7B99" w:rsidRDefault="003422A9">
      <w:pPr>
        <w:jc w:val="center"/>
        <w:rPr>
          <w:rFonts w:asciiTheme="majorHAnsi" w:hAnsiTheme="majorHAnsi" w:cstheme="majorHAnsi"/>
          <w:i/>
          <w:sz w:val="18"/>
          <w:szCs w:val="18"/>
        </w:rPr>
      </w:pPr>
    </w:p>
    <w:p w14:paraId="187754E4" w14:textId="3DDA5187" w:rsidR="00E440CE" w:rsidRPr="00ED7B99" w:rsidRDefault="004C0398" w:rsidP="004C0398">
      <w:pPr>
        <w:pStyle w:val="Heading3"/>
        <w:rPr>
          <w:rFonts w:asciiTheme="majorHAnsi" w:hAnsiTheme="majorHAnsi" w:cstheme="majorHAnsi"/>
        </w:rPr>
      </w:pPr>
      <w:bookmarkStart w:id="6" w:name="_Toc117458912"/>
      <w:r w:rsidRPr="00ED7B99">
        <w:rPr>
          <w:rFonts w:asciiTheme="majorHAnsi" w:hAnsiTheme="majorHAnsi" w:cstheme="majorHAnsi"/>
        </w:rPr>
        <w:t>2</w:t>
      </w:r>
      <w:r w:rsidR="003422A9" w:rsidRPr="00ED7B99">
        <w:rPr>
          <w:rFonts w:asciiTheme="majorHAnsi" w:hAnsiTheme="majorHAnsi" w:cstheme="majorHAnsi"/>
        </w:rPr>
        <w:t>.1.4. Zastupljenost male privrede po kantonima u Federaciji BiH</w:t>
      </w:r>
      <w:bookmarkEnd w:id="6"/>
    </w:p>
    <w:p w14:paraId="35006228" w14:textId="77777777" w:rsidR="003422A9" w:rsidRPr="00ED7B99" w:rsidRDefault="003422A9" w:rsidP="003422A9">
      <w:pPr>
        <w:rPr>
          <w:rFonts w:asciiTheme="majorHAnsi" w:hAnsiTheme="majorHAnsi" w:cstheme="majorHAnsi"/>
        </w:rPr>
      </w:pPr>
    </w:p>
    <w:p w14:paraId="6AC25C44" w14:textId="6F75F82B" w:rsidR="00E440CE" w:rsidRPr="00ED7B99" w:rsidRDefault="003422A9">
      <w:pPr>
        <w:jc w:val="both"/>
        <w:rPr>
          <w:rFonts w:asciiTheme="majorHAnsi" w:hAnsiTheme="majorHAnsi" w:cstheme="majorHAnsi"/>
        </w:rPr>
      </w:pPr>
      <w:r w:rsidRPr="00ED7B99">
        <w:rPr>
          <w:rFonts w:asciiTheme="majorHAnsi" w:hAnsiTheme="majorHAnsi" w:cstheme="majorHAnsi"/>
        </w:rPr>
        <w:t>Administrativno i teritorijalno ustrojstvo Federacije Bi</w:t>
      </w:r>
      <w:r w:rsidR="00B944DF">
        <w:rPr>
          <w:rFonts w:asciiTheme="majorHAnsi" w:hAnsiTheme="majorHAnsi" w:cstheme="majorHAnsi"/>
        </w:rPr>
        <w:t>H</w:t>
      </w:r>
      <w:r w:rsidRPr="00ED7B99">
        <w:rPr>
          <w:rFonts w:asciiTheme="majorHAnsi" w:hAnsiTheme="majorHAnsi" w:cstheme="majorHAnsi"/>
        </w:rPr>
        <w:t xml:space="preserve"> sastoji se od 10 kantona i to Unsko-sanskog kantona, Posavskog kantona, Tuzlanskog kantona, Zeničko-dobojskog kantona, Bosansko-podrinjiskog kanona, Srednjebosanskog kantona, Hercegovačko-neretvanskog kantona, Zapadnohercegovačkog kantona, Kantona Sarajevo te Kantona 10.</w:t>
      </w:r>
      <w:r w:rsidR="00B944DF">
        <w:rPr>
          <w:rFonts w:asciiTheme="majorHAnsi" w:hAnsiTheme="majorHAnsi" w:cstheme="majorHAnsi"/>
        </w:rPr>
        <w:t xml:space="preserve"> U Tabeli 12. dat je pregled broja subjekata male privrede po kantonima u Federaciji BiH u periodu 2018.-2021. godina</w:t>
      </w:r>
    </w:p>
    <w:p w14:paraId="67C4F4E1" w14:textId="3FD4EAB4" w:rsidR="004C0398" w:rsidRPr="00ED7B99" w:rsidRDefault="004C0398" w:rsidP="004C0398">
      <w:pPr>
        <w:pStyle w:val="Caption"/>
        <w:keepNext/>
        <w:rPr>
          <w:rFonts w:asciiTheme="majorHAnsi" w:hAnsiTheme="majorHAnsi" w:cstheme="majorHAnsi"/>
        </w:rPr>
      </w:pPr>
      <w:r w:rsidRPr="00ED7B99">
        <w:rPr>
          <w:rFonts w:asciiTheme="majorHAnsi" w:hAnsiTheme="majorHAnsi" w:cstheme="majorHAnsi"/>
        </w:rPr>
        <w:t xml:space="preserve">Tabela </w:t>
      </w:r>
      <w:r w:rsidR="0054018A" w:rsidRPr="00ED7B99">
        <w:rPr>
          <w:rFonts w:asciiTheme="majorHAnsi" w:hAnsiTheme="majorHAnsi" w:cstheme="majorHAnsi"/>
        </w:rPr>
        <w:fldChar w:fldCharType="begin"/>
      </w:r>
      <w:r w:rsidR="0054018A" w:rsidRPr="00ED7B99">
        <w:rPr>
          <w:rFonts w:asciiTheme="majorHAnsi" w:hAnsiTheme="majorHAnsi" w:cstheme="majorHAnsi"/>
        </w:rPr>
        <w:instrText xml:space="preserve"> SEQ Tabela \* ARABIC </w:instrText>
      </w:r>
      <w:r w:rsidR="0054018A" w:rsidRPr="00ED7B99">
        <w:rPr>
          <w:rFonts w:asciiTheme="majorHAnsi" w:hAnsiTheme="majorHAnsi" w:cstheme="majorHAnsi"/>
        </w:rPr>
        <w:fldChar w:fldCharType="separate"/>
      </w:r>
      <w:r w:rsidR="006A3335">
        <w:rPr>
          <w:rFonts w:asciiTheme="majorHAnsi" w:hAnsiTheme="majorHAnsi" w:cstheme="majorHAnsi"/>
          <w:noProof/>
        </w:rPr>
        <w:t>12</w:t>
      </w:r>
      <w:r w:rsidR="0054018A" w:rsidRPr="00ED7B99">
        <w:rPr>
          <w:rFonts w:asciiTheme="majorHAnsi" w:hAnsiTheme="majorHAnsi" w:cstheme="majorHAnsi"/>
        </w:rPr>
        <w:fldChar w:fldCharType="end"/>
      </w:r>
      <w:r w:rsidRPr="00ED7B99">
        <w:rPr>
          <w:rFonts w:asciiTheme="majorHAnsi" w:hAnsiTheme="majorHAnsi" w:cstheme="majorHAnsi"/>
        </w:rPr>
        <w:t>. Rasprostranjenost subjekata male privrede u FBiH po kantonima FBiH u periodu 2018.-2021. godina</w:t>
      </w:r>
    </w:p>
    <w:tbl>
      <w:tblPr>
        <w:tblW w:w="9240" w:type="dxa"/>
        <w:tblLook w:val="04A0" w:firstRow="1" w:lastRow="0" w:firstColumn="1" w:lastColumn="0" w:noHBand="0" w:noVBand="1"/>
      </w:tblPr>
      <w:tblGrid>
        <w:gridCol w:w="2322"/>
        <w:gridCol w:w="960"/>
        <w:gridCol w:w="949"/>
        <w:gridCol w:w="947"/>
        <w:gridCol w:w="952"/>
        <w:gridCol w:w="950"/>
        <w:gridCol w:w="1128"/>
        <w:gridCol w:w="1032"/>
      </w:tblGrid>
      <w:tr w:rsidR="00DC6AAD" w:rsidRPr="006B6796" w14:paraId="43C7B8F3" w14:textId="77777777" w:rsidTr="00683004">
        <w:trPr>
          <w:trHeight w:val="315"/>
        </w:trPr>
        <w:tc>
          <w:tcPr>
            <w:tcW w:w="2322" w:type="dxa"/>
            <w:tcBorders>
              <w:top w:val="single" w:sz="4" w:space="0" w:color="auto"/>
              <w:left w:val="single" w:sz="4" w:space="0" w:color="auto"/>
              <w:bottom w:val="single" w:sz="4" w:space="0" w:color="auto"/>
              <w:right w:val="single" w:sz="4" w:space="0" w:color="auto"/>
            </w:tcBorders>
            <w:shd w:val="clear" w:color="auto" w:fill="BCD9DE" w:themeFill="accent5" w:themeFillTint="66"/>
            <w:noWrap/>
            <w:vAlign w:val="bottom"/>
            <w:hideMark/>
          </w:tcPr>
          <w:p w14:paraId="3065603E"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KANTONI</w:t>
            </w:r>
          </w:p>
        </w:tc>
        <w:tc>
          <w:tcPr>
            <w:tcW w:w="960" w:type="dxa"/>
            <w:tcBorders>
              <w:top w:val="single" w:sz="4" w:space="0" w:color="auto"/>
              <w:left w:val="nil"/>
              <w:bottom w:val="single" w:sz="4" w:space="0" w:color="auto"/>
              <w:right w:val="single" w:sz="4" w:space="0" w:color="auto"/>
            </w:tcBorders>
            <w:shd w:val="clear" w:color="auto" w:fill="BCD9DE" w:themeFill="accent5" w:themeFillTint="66"/>
            <w:noWrap/>
            <w:vAlign w:val="bottom"/>
            <w:hideMark/>
          </w:tcPr>
          <w:p w14:paraId="3C29EF02"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Godina</w:t>
            </w:r>
          </w:p>
        </w:tc>
        <w:tc>
          <w:tcPr>
            <w:tcW w:w="949" w:type="dxa"/>
            <w:tcBorders>
              <w:top w:val="single" w:sz="4" w:space="0" w:color="auto"/>
              <w:left w:val="nil"/>
              <w:bottom w:val="single" w:sz="4" w:space="0" w:color="auto"/>
              <w:right w:val="single" w:sz="4" w:space="0" w:color="auto"/>
            </w:tcBorders>
            <w:shd w:val="clear" w:color="auto" w:fill="BCD9DE" w:themeFill="accent5" w:themeFillTint="66"/>
            <w:vAlign w:val="center"/>
            <w:hideMark/>
          </w:tcPr>
          <w:p w14:paraId="2FC2FA51" w14:textId="77777777" w:rsidR="00DC6AAD" w:rsidRPr="006B6796" w:rsidRDefault="00DC6AAD" w:rsidP="00744E87">
            <w:pPr>
              <w:spacing w:after="0" w:line="240" w:lineRule="auto"/>
              <w:jc w:val="center"/>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Mikro</w:t>
            </w:r>
          </w:p>
        </w:tc>
        <w:tc>
          <w:tcPr>
            <w:tcW w:w="947" w:type="dxa"/>
            <w:tcBorders>
              <w:top w:val="single" w:sz="4" w:space="0" w:color="auto"/>
              <w:left w:val="nil"/>
              <w:bottom w:val="single" w:sz="4" w:space="0" w:color="auto"/>
              <w:right w:val="single" w:sz="4" w:space="0" w:color="auto"/>
            </w:tcBorders>
            <w:shd w:val="clear" w:color="auto" w:fill="BCD9DE" w:themeFill="accent5" w:themeFillTint="66"/>
            <w:vAlign w:val="center"/>
            <w:hideMark/>
          </w:tcPr>
          <w:p w14:paraId="6609C00D" w14:textId="77777777" w:rsidR="00DC6AAD" w:rsidRPr="006B6796" w:rsidRDefault="00DC6AAD" w:rsidP="00744E87">
            <w:pPr>
              <w:spacing w:after="0" w:line="240" w:lineRule="auto"/>
              <w:jc w:val="center"/>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 xml:space="preserve">Mala </w:t>
            </w:r>
          </w:p>
        </w:tc>
        <w:tc>
          <w:tcPr>
            <w:tcW w:w="952" w:type="dxa"/>
            <w:tcBorders>
              <w:top w:val="single" w:sz="4" w:space="0" w:color="auto"/>
              <w:left w:val="nil"/>
              <w:bottom w:val="single" w:sz="4" w:space="0" w:color="auto"/>
              <w:right w:val="single" w:sz="4" w:space="0" w:color="auto"/>
            </w:tcBorders>
            <w:shd w:val="clear" w:color="auto" w:fill="BCD9DE" w:themeFill="accent5" w:themeFillTint="66"/>
            <w:vAlign w:val="center"/>
            <w:hideMark/>
          </w:tcPr>
          <w:p w14:paraId="1F19AFA1" w14:textId="77777777" w:rsidR="00DC6AAD" w:rsidRPr="006B6796" w:rsidRDefault="00DC6AAD" w:rsidP="00744E87">
            <w:pPr>
              <w:spacing w:after="0" w:line="240" w:lineRule="auto"/>
              <w:jc w:val="center"/>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Srednja</w:t>
            </w:r>
          </w:p>
        </w:tc>
        <w:tc>
          <w:tcPr>
            <w:tcW w:w="950" w:type="dxa"/>
            <w:tcBorders>
              <w:top w:val="single" w:sz="4" w:space="0" w:color="auto"/>
              <w:left w:val="nil"/>
              <w:bottom w:val="single" w:sz="4" w:space="0" w:color="auto"/>
              <w:right w:val="single" w:sz="4" w:space="0" w:color="auto"/>
            </w:tcBorders>
            <w:shd w:val="clear" w:color="auto" w:fill="BCD9DE" w:themeFill="accent5" w:themeFillTint="66"/>
            <w:vAlign w:val="center"/>
            <w:hideMark/>
          </w:tcPr>
          <w:p w14:paraId="37738576" w14:textId="77777777" w:rsidR="00DC6AAD" w:rsidRPr="006B6796" w:rsidRDefault="00DC6AAD" w:rsidP="00744E87">
            <w:pPr>
              <w:spacing w:after="0" w:line="240" w:lineRule="auto"/>
              <w:jc w:val="center"/>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 xml:space="preserve">Obrti </w:t>
            </w:r>
          </w:p>
        </w:tc>
        <w:tc>
          <w:tcPr>
            <w:tcW w:w="1128" w:type="dxa"/>
            <w:tcBorders>
              <w:top w:val="single" w:sz="4" w:space="0" w:color="auto"/>
              <w:left w:val="nil"/>
              <w:bottom w:val="single" w:sz="4" w:space="0" w:color="auto"/>
              <w:right w:val="single" w:sz="4" w:space="0" w:color="auto"/>
            </w:tcBorders>
            <w:shd w:val="clear" w:color="auto" w:fill="BCD9DE" w:themeFill="accent5" w:themeFillTint="66"/>
            <w:vAlign w:val="center"/>
            <w:hideMark/>
          </w:tcPr>
          <w:p w14:paraId="65D3CEC4" w14:textId="77777777" w:rsidR="00DC6AAD" w:rsidRPr="006B6796" w:rsidRDefault="00DC6AAD" w:rsidP="00744E87">
            <w:pPr>
              <w:spacing w:after="0" w:line="240" w:lineRule="auto"/>
              <w:jc w:val="center"/>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Ukupno</w:t>
            </w:r>
          </w:p>
        </w:tc>
        <w:tc>
          <w:tcPr>
            <w:tcW w:w="1032" w:type="dxa"/>
            <w:tcBorders>
              <w:top w:val="single" w:sz="4" w:space="0" w:color="auto"/>
              <w:left w:val="nil"/>
              <w:bottom w:val="single" w:sz="4" w:space="0" w:color="auto"/>
              <w:right w:val="single" w:sz="4" w:space="0" w:color="auto"/>
            </w:tcBorders>
            <w:shd w:val="clear" w:color="auto" w:fill="BCD9DE" w:themeFill="accent5" w:themeFillTint="66"/>
            <w:vAlign w:val="center"/>
            <w:hideMark/>
          </w:tcPr>
          <w:p w14:paraId="09B01950" w14:textId="77777777" w:rsidR="00DC6AAD" w:rsidRPr="006B6796" w:rsidRDefault="00DC6AAD" w:rsidP="00744E87">
            <w:pPr>
              <w:spacing w:after="0" w:line="240" w:lineRule="auto"/>
              <w:jc w:val="center"/>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 u F BiH</w:t>
            </w:r>
          </w:p>
        </w:tc>
      </w:tr>
      <w:tr w:rsidR="00DC6AAD" w:rsidRPr="006B6796" w14:paraId="3A238931" w14:textId="77777777" w:rsidTr="00744E87">
        <w:trPr>
          <w:trHeight w:val="315"/>
        </w:trPr>
        <w:tc>
          <w:tcPr>
            <w:tcW w:w="2322" w:type="dxa"/>
            <w:vMerge w:val="restart"/>
            <w:tcBorders>
              <w:top w:val="nil"/>
              <w:left w:val="single" w:sz="4" w:space="0" w:color="auto"/>
              <w:bottom w:val="single" w:sz="4" w:space="0" w:color="auto"/>
              <w:right w:val="single" w:sz="4" w:space="0" w:color="auto"/>
            </w:tcBorders>
            <w:shd w:val="clear" w:color="auto" w:fill="auto"/>
            <w:vAlign w:val="center"/>
            <w:hideMark/>
          </w:tcPr>
          <w:p w14:paraId="600F2688"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Unsko sanski</w:t>
            </w:r>
          </w:p>
        </w:tc>
        <w:tc>
          <w:tcPr>
            <w:tcW w:w="960" w:type="dxa"/>
            <w:tcBorders>
              <w:top w:val="nil"/>
              <w:left w:val="nil"/>
              <w:bottom w:val="single" w:sz="4" w:space="0" w:color="auto"/>
              <w:right w:val="single" w:sz="4" w:space="0" w:color="auto"/>
            </w:tcBorders>
            <w:shd w:val="clear" w:color="auto" w:fill="auto"/>
            <w:noWrap/>
            <w:vAlign w:val="bottom"/>
            <w:hideMark/>
          </w:tcPr>
          <w:p w14:paraId="40460A9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5A11453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1.503</w:t>
            </w:r>
          </w:p>
        </w:tc>
        <w:tc>
          <w:tcPr>
            <w:tcW w:w="947" w:type="dxa"/>
            <w:tcBorders>
              <w:top w:val="nil"/>
              <w:left w:val="nil"/>
              <w:bottom w:val="single" w:sz="4" w:space="0" w:color="auto"/>
              <w:right w:val="single" w:sz="4" w:space="0" w:color="auto"/>
            </w:tcBorders>
            <w:shd w:val="clear" w:color="auto" w:fill="auto"/>
            <w:noWrap/>
            <w:vAlign w:val="bottom"/>
            <w:hideMark/>
          </w:tcPr>
          <w:p w14:paraId="6399C45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344</w:t>
            </w:r>
          </w:p>
        </w:tc>
        <w:tc>
          <w:tcPr>
            <w:tcW w:w="952" w:type="dxa"/>
            <w:tcBorders>
              <w:top w:val="nil"/>
              <w:left w:val="nil"/>
              <w:bottom w:val="single" w:sz="4" w:space="0" w:color="auto"/>
              <w:right w:val="single" w:sz="4" w:space="0" w:color="auto"/>
            </w:tcBorders>
            <w:shd w:val="clear" w:color="auto" w:fill="auto"/>
            <w:noWrap/>
            <w:vAlign w:val="bottom"/>
            <w:hideMark/>
          </w:tcPr>
          <w:p w14:paraId="1D0F457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58</w:t>
            </w:r>
          </w:p>
        </w:tc>
        <w:tc>
          <w:tcPr>
            <w:tcW w:w="950" w:type="dxa"/>
            <w:tcBorders>
              <w:top w:val="nil"/>
              <w:left w:val="nil"/>
              <w:bottom w:val="single" w:sz="4" w:space="0" w:color="auto"/>
              <w:right w:val="single" w:sz="4" w:space="0" w:color="auto"/>
            </w:tcBorders>
            <w:shd w:val="clear" w:color="auto" w:fill="auto"/>
            <w:noWrap/>
            <w:vAlign w:val="bottom"/>
            <w:hideMark/>
          </w:tcPr>
          <w:p w14:paraId="6DE958C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3.962</w:t>
            </w:r>
          </w:p>
        </w:tc>
        <w:tc>
          <w:tcPr>
            <w:tcW w:w="1128" w:type="dxa"/>
            <w:tcBorders>
              <w:top w:val="nil"/>
              <w:left w:val="nil"/>
              <w:bottom w:val="single" w:sz="4" w:space="0" w:color="auto"/>
              <w:right w:val="single" w:sz="4" w:space="0" w:color="auto"/>
            </w:tcBorders>
            <w:shd w:val="clear" w:color="auto" w:fill="auto"/>
            <w:noWrap/>
            <w:vAlign w:val="bottom"/>
            <w:hideMark/>
          </w:tcPr>
          <w:p w14:paraId="2BFF7CA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5.867</w:t>
            </w:r>
          </w:p>
        </w:tc>
        <w:tc>
          <w:tcPr>
            <w:tcW w:w="1032" w:type="dxa"/>
            <w:tcBorders>
              <w:top w:val="nil"/>
              <w:left w:val="nil"/>
              <w:bottom w:val="single" w:sz="4" w:space="0" w:color="auto"/>
              <w:right w:val="single" w:sz="4" w:space="0" w:color="auto"/>
            </w:tcBorders>
            <w:shd w:val="clear" w:color="auto" w:fill="auto"/>
            <w:noWrap/>
            <w:vAlign w:val="bottom"/>
            <w:hideMark/>
          </w:tcPr>
          <w:p w14:paraId="035DA22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7,91%</w:t>
            </w:r>
          </w:p>
        </w:tc>
      </w:tr>
      <w:tr w:rsidR="00DC6AAD" w:rsidRPr="006B6796" w14:paraId="684D6F95" w14:textId="77777777" w:rsidTr="00744E87">
        <w:trPr>
          <w:trHeight w:val="315"/>
        </w:trPr>
        <w:tc>
          <w:tcPr>
            <w:tcW w:w="2322" w:type="dxa"/>
            <w:vMerge/>
            <w:tcBorders>
              <w:top w:val="nil"/>
              <w:left w:val="single" w:sz="4" w:space="0" w:color="auto"/>
              <w:bottom w:val="single" w:sz="4" w:space="0" w:color="auto"/>
              <w:right w:val="single" w:sz="4" w:space="0" w:color="auto"/>
            </w:tcBorders>
            <w:vAlign w:val="center"/>
            <w:hideMark/>
          </w:tcPr>
          <w:p w14:paraId="0052E569"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0737A10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7C2824C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1.476</w:t>
            </w:r>
          </w:p>
        </w:tc>
        <w:tc>
          <w:tcPr>
            <w:tcW w:w="947" w:type="dxa"/>
            <w:tcBorders>
              <w:top w:val="nil"/>
              <w:left w:val="nil"/>
              <w:bottom w:val="single" w:sz="4" w:space="0" w:color="auto"/>
              <w:right w:val="single" w:sz="4" w:space="0" w:color="auto"/>
            </w:tcBorders>
            <w:shd w:val="clear" w:color="auto" w:fill="auto"/>
            <w:noWrap/>
            <w:vAlign w:val="bottom"/>
            <w:hideMark/>
          </w:tcPr>
          <w:p w14:paraId="2B182C8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348</w:t>
            </w:r>
          </w:p>
        </w:tc>
        <w:tc>
          <w:tcPr>
            <w:tcW w:w="952" w:type="dxa"/>
            <w:tcBorders>
              <w:top w:val="nil"/>
              <w:left w:val="nil"/>
              <w:bottom w:val="single" w:sz="4" w:space="0" w:color="auto"/>
              <w:right w:val="single" w:sz="4" w:space="0" w:color="auto"/>
            </w:tcBorders>
            <w:shd w:val="clear" w:color="auto" w:fill="auto"/>
            <w:noWrap/>
            <w:vAlign w:val="bottom"/>
            <w:hideMark/>
          </w:tcPr>
          <w:p w14:paraId="5971B30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64</w:t>
            </w:r>
          </w:p>
        </w:tc>
        <w:tc>
          <w:tcPr>
            <w:tcW w:w="950" w:type="dxa"/>
            <w:tcBorders>
              <w:top w:val="nil"/>
              <w:left w:val="nil"/>
              <w:bottom w:val="single" w:sz="4" w:space="0" w:color="auto"/>
              <w:right w:val="single" w:sz="4" w:space="0" w:color="auto"/>
            </w:tcBorders>
            <w:shd w:val="clear" w:color="auto" w:fill="auto"/>
            <w:noWrap/>
            <w:vAlign w:val="bottom"/>
            <w:hideMark/>
          </w:tcPr>
          <w:p w14:paraId="79EDE7E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3.910</w:t>
            </w:r>
          </w:p>
        </w:tc>
        <w:tc>
          <w:tcPr>
            <w:tcW w:w="1128" w:type="dxa"/>
            <w:tcBorders>
              <w:top w:val="nil"/>
              <w:left w:val="nil"/>
              <w:bottom w:val="single" w:sz="4" w:space="0" w:color="auto"/>
              <w:right w:val="single" w:sz="4" w:space="0" w:color="auto"/>
            </w:tcBorders>
            <w:shd w:val="clear" w:color="auto" w:fill="auto"/>
            <w:noWrap/>
            <w:vAlign w:val="bottom"/>
            <w:hideMark/>
          </w:tcPr>
          <w:p w14:paraId="36E6C3B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5.798</w:t>
            </w:r>
          </w:p>
        </w:tc>
        <w:tc>
          <w:tcPr>
            <w:tcW w:w="1032" w:type="dxa"/>
            <w:tcBorders>
              <w:top w:val="nil"/>
              <w:left w:val="nil"/>
              <w:bottom w:val="single" w:sz="4" w:space="0" w:color="auto"/>
              <w:right w:val="single" w:sz="4" w:space="0" w:color="auto"/>
            </w:tcBorders>
            <w:shd w:val="clear" w:color="auto" w:fill="auto"/>
            <w:noWrap/>
            <w:vAlign w:val="bottom"/>
            <w:hideMark/>
          </w:tcPr>
          <w:p w14:paraId="4DEF16E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7,71%</w:t>
            </w:r>
          </w:p>
        </w:tc>
      </w:tr>
      <w:tr w:rsidR="00DC6AAD" w:rsidRPr="006B6796" w14:paraId="1E24C141" w14:textId="77777777" w:rsidTr="00744E87">
        <w:trPr>
          <w:trHeight w:val="315"/>
        </w:trPr>
        <w:tc>
          <w:tcPr>
            <w:tcW w:w="2322" w:type="dxa"/>
            <w:vMerge/>
            <w:tcBorders>
              <w:top w:val="nil"/>
              <w:left w:val="single" w:sz="4" w:space="0" w:color="auto"/>
              <w:bottom w:val="single" w:sz="4" w:space="0" w:color="auto"/>
              <w:right w:val="single" w:sz="4" w:space="0" w:color="auto"/>
            </w:tcBorders>
            <w:vAlign w:val="center"/>
            <w:hideMark/>
          </w:tcPr>
          <w:p w14:paraId="7DBE89A8"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11B3ECC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3E8EE30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1.512</w:t>
            </w:r>
          </w:p>
        </w:tc>
        <w:tc>
          <w:tcPr>
            <w:tcW w:w="947" w:type="dxa"/>
            <w:tcBorders>
              <w:top w:val="nil"/>
              <w:left w:val="nil"/>
              <w:bottom w:val="single" w:sz="4" w:space="0" w:color="auto"/>
              <w:right w:val="single" w:sz="4" w:space="0" w:color="auto"/>
            </w:tcBorders>
            <w:shd w:val="clear" w:color="auto" w:fill="auto"/>
            <w:noWrap/>
            <w:vAlign w:val="bottom"/>
            <w:hideMark/>
          </w:tcPr>
          <w:p w14:paraId="0AA997B6"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325</w:t>
            </w:r>
          </w:p>
        </w:tc>
        <w:tc>
          <w:tcPr>
            <w:tcW w:w="952" w:type="dxa"/>
            <w:tcBorders>
              <w:top w:val="nil"/>
              <w:left w:val="nil"/>
              <w:bottom w:val="single" w:sz="4" w:space="0" w:color="auto"/>
              <w:right w:val="single" w:sz="4" w:space="0" w:color="auto"/>
            </w:tcBorders>
            <w:shd w:val="clear" w:color="auto" w:fill="auto"/>
            <w:noWrap/>
            <w:vAlign w:val="bottom"/>
            <w:hideMark/>
          </w:tcPr>
          <w:p w14:paraId="272DCBC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57</w:t>
            </w:r>
          </w:p>
        </w:tc>
        <w:tc>
          <w:tcPr>
            <w:tcW w:w="950" w:type="dxa"/>
            <w:tcBorders>
              <w:top w:val="nil"/>
              <w:left w:val="nil"/>
              <w:bottom w:val="single" w:sz="4" w:space="0" w:color="auto"/>
              <w:right w:val="single" w:sz="4" w:space="0" w:color="auto"/>
            </w:tcBorders>
            <w:shd w:val="clear" w:color="auto" w:fill="auto"/>
            <w:noWrap/>
            <w:vAlign w:val="bottom"/>
            <w:hideMark/>
          </w:tcPr>
          <w:p w14:paraId="22EE6C2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3.998</w:t>
            </w:r>
          </w:p>
        </w:tc>
        <w:tc>
          <w:tcPr>
            <w:tcW w:w="1128" w:type="dxa"/>
            <w:tcBorders>
              <w:top w:val="nil"/>
              <w:left w:val="nil"/>
              <w:bottom w:val="single" w:sz="4" w:space="0" w:color="auto"/>
              <w:right w:val="single" w:sz="4" w:space="0" w:color="auto"/>
            </w:tcBorders>
            <w:shd w:val="clear" w:color="auto" w:fill="auto"/>
            <w:noWrap/>
            <w:vAlign w:val="bottom"/>
            <w:hideMark/>
          </w:tcPr>
          <w:p w14:paraId="2FB7E11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5.892</w:t>
            </w:r>
          </w:p>
        </w:tc>
        <w:tc>
          <w:tcPr>
            <w:tcW w:w="1032" w:type="dxa"/>
            <w:tcBorders>
              <w:top w:val="nil"/>
              <w:left w:val="nil"/>
              <w:bottom w:val="single" w:sz="4" w:space="0" w:color="auto"/>
              <w:right w:val="single" w:sz="4" w:space="0" w:color="auto"/>
            </w:tcBorders>
            <w:shd w:val="clear" w:color="auto" w:fill="auto"/>
            <w:noWrap/>
            <w:vAlign w:val="bottom"/>
            <w:hideMark/>
          </w:tcPr>
          <w:p w14:paraId="3C442AA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7,80%</w:t>
            </w:r>
          </w:p>
        </w:tc>
      </w:tr>
      <w:tr w:rsidR="00DC6AAD" w:rsidRPr="006B6796" w14:paraId="20928D00" w14:textId="77777777" w:rsidTr="00683004">
        <w:trPr>
          <w:trHeight w:val="315"/>
        </w:trPr>
        <w:tc>
          <w:tcPr>
            <w:tcW w:w="2322" w:type="dxa"/>
            <w:vMerge/>
            <w:tcBorders>
              <w:top w:val="nil"/>
              <w:left w:val="single" w:sz="4" w:space="0" w:color="auto"/>
              <w:bottom w:val="single" w:sz="4" w:space="0" w:color="auto"/>
              <w:right w:val="single" w:sz="4" w:space="0" w:color="auto"/>
            </w:tcBorders>
            <w:vAlign w:val="center"/>
            <w:hideMark/>
          </w:tcPr>
          <w:p w14:paraId="03168EC4"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136FB8DE"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4013D0F3"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1.552</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5343E2E0"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324</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6E639B17"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62</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7E41BAE3"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4.029</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3AAB8848"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5.967</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619808B2"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7,78%</w:t>
            </w:r>
          </w:p>
        </w:tc>
      </w:tr>
      <w:tr w:rsidR="00DC6AAD" w:rsidRPr="006B6796" w14:paraId="62F7F74E" w14:textId="77777777" w:rsidTr="00744E87">
        <w:trPr>
          <w:trHeight w:val="315"/>
        </w:trPr>
        <w:tc>
          <w:tcPr>
            <w:tcW w:w="2322" w:type="dxa"/>
            <w:vMerge w:val="restart"/>
            <w:tcBorders>
              <w:top w:val="single" w:sz="4" w:space="0" w:color="auto"/>
              <w:left w:val="single" w:sz="4" w:space="0" w:color="auto"/>
              <w:bottom w:val="nil"/>
              <w:right w:val="single" w:sz="4" w:space="0" w:color="auto"/>
            </w:tcBorders>
            <w:shd w:val="clear" w:color="auto" w:fill="auto"/>
            <w:vAlign w:val="center"/>
            <w:hideMark/>
          </w:tcPr>
          <w:p w14:paraId="313807E7"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Posavski</w:t>
            </w:r>
          </w:p>
        </w:tc>
        <w:tc>
          <w:tcPr>
            <w:tcW w:w="960" w:type="dxa"/>
            <w:tcBorders>
              <w:top w:val="nil"/>
              <w:left w:val="nil"/>
              <w:bottom w:val="single" w:sz="4" w:space="0" w:color="auto"/>
              <w:right w:val="single" w:sz="4" w:space="0" w:color="auto"/>
            </w:tcBorders>
            <w:shd w:val="clear" w:color="auto" w:fill="auto"/>
            <w:noWrap/>
            <w:vAlign w:val="bottom"/>
            <w:hideMark/>
          </w:tcPr>
          <w:p w14:paraId="4D93E6A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3E04AEA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268</w:t>
            </w:r>
          </w:p>
        </w:tc>
        <w:tc>
          <w:tcPr>
            <w:tcW w:w="947" w:type="dxa"/>
            <w:tcBorders>
              <w:top w:val="nil"/>
              <w:left w:val="nil"/>
              <w:bottom w:val="single" w:sz="4" w:space="0" w:color="auto"/>
              <w:right w:val="single" w:sz="4" w:space="0" w:color="auto"/>
            </w:tcBorders>
            <w:shd w:val="clear" w:color="auto" w:fill="auto"/>
            <w:noWrap/>
            <w:vAlign w:val="bottom"/>
            <w:hideMark/>
          </w:tcPr>
          <w:p w14:paraId="54ACD43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61</w:t>
            </w:r>
          </w:p>
        </w:tc>
        <w:tc>
          <w:tcPr>
            <w:tcW w:w="952" w:type="dxa"/>
            <w:tcBorders>
              <w:top w:val="nil"/>
              <w:left w:val="nil"/>
              <w:bottom w:val="single" w:sz="4" w:space="0" w:color="auto"/>
              <w:right w:val="single" w:sz="4" w:space="0" w:color="auto"/>
            </w:tcBorders>
            <w:shd w:val="clear" w:color="auto" w:fill="auto"/>
            <w:noWrap/>
            <w:vAlign w:val="bottom"/>
            <w:hideMark/>
          </w:tcPr>
          <w:p w14:paraId="05555D5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14</w:t>
            </w:r>
          </w:p>
        </w:tc>
        <w:tc>
          <w:tcPr>
            <w:tcW w:w="950" w:type="dxa"/>
            <w:tcBorders>
              <w:top w:val="nil"/>
              <w:left w:val="nil"/>
              <w:bottom w:val="single" w:sz="4" w:space="0" w:color="auto"/>
              <w:right w:val="single" w:sz="4" w:space="0" w:color="auto"/>
            </w:tcBorders>
            <w:shd w:val="clear" w:color="auto" w:fill="auto"/>
            <w:noWrap/>
            <w:vAlign w:val="bottom"/>
            <w:hideMark/>
          </w:tcPr>
          <w:p w14:paraId="36EB21B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536</w:t>
            </w:r>
          </w:p>
        </w:tc>
        <w:tc>
          <w:tcPr>
            <w:tcW w:w="1128" w:type="dxa"/>
            <w:tcBorders>
              <w:top w:val="nil"/>
              <w:left w:val="nil"/>
              <w:bottom w:val="single" w:sz="4" w:space="0" w:color="auto"/>
              <w:right w:val="single" w:sz="4" w:space="0" w:color="auto"/>
            </w:tcBorders>
            <w:shd w:val="clear" w:color="auto" w:fill="auto"/>
            <w:noWrap/>
            <w:vAlign w:val="bottom"/>
            <w:hideMark/>
          </w:tcPr>
          <w:p w14:paraId="7578F8B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879</w:t>
            </w:r>
          </w:p>
        </w:tc>
        <w:tc>
          <w:tcPr>
            <w:tcW w:w="1032" w:type="dxa"/>
            <w:tcBorders>
              <w:top w:val="nil"/>
              <w:left w:val="nil"/>
              <w:bottom w:val="single" w:sz="4" w:space="0" w:color="auto"/>
              <w:right w:val="single" w:sz="4" w:space="0" w:color="auto"/>
            </w:tcBorders>
            <w:shd w:val="clear" w:color="auto" w:fill="auto"/>
            <w:noWrap/>
            <w:vAlign w:val="bottom"/>
            <w:hideMark/>
          </w:tcPr>
          <w:p w14:paraId="3CE9734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1,18%</w:t>
            </w:r>
          </w:p>
        </w:tc>
      </w:tr>
      <w:tr w:rsidR="00DC6AAD" w:rsidRPr="006B6796" w14:paraId="5A7DBD27" w14:textId="77777777" w:rsidTr="00744E87">
        <w:trPr>
          <w:trHeight w:val="315"/>
        </w:trPr>
        <w:tc>
          <w:tcPr>
            <w:tcW w:w="2322" w:type="dxa"/>
            <w:vMerge/>
            <w:tcBorders>
              <w:top w:val="single" w:sz="4" w:space="0" w:color="auto"/>
              <w:left w:val="single" w:sz="4" w:space="0" w:color="auto"/>
              <w:bottom w:val="nil"/>
              <w:right w:val="single" w:sz="4" w:space="0" w:color="auto"/>
            </w:tcBorders>
            <w:vAlign w:val="center"/>
            <w:hideMark/>
          </w:tcPr>
          <w:p w14:paraId="5DD751FC"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28712AE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1887D18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262</w:t>
            </w:r>
          </w:p>
        </w:tc>
        <w:tc>
          <w:tcPr>
            <w:tcW w:w="947" w:type="dxa"/>
            <w:tcBorders>
              <w:top w:val="nil"/>
              <w:left w:val="nil"/>
              <w:bottom w:val="single" w:sz="4" w:space="0" w:color="auto"/>
              <w:right w:val="single" w:sz="4" w:space="0" w:color="auto"/>
            </w:tcBorders>
            <w:shd w:val="clear" w:color="auto" w:fill="auto"/>
            <w:noWrap/>
            <w:vAlign w:val="bottom"/>
            <w:hideMark/>
          </w:tcPr>
          <w:p w14:paraId="2D7D502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60</w:t>
            </w:r>
          </w:p>
        </w:tc>
        <w:tc>
          <w:tcPr>
            <w:tcW w:w="952" w:type="dxa"/>
            <w:tcBorders>
              <w:top w:val="nil"/>
              <w:left w:val="nil"/>
              <w:bottom w:val="single" w:sz="4" w:space="0" w:color="auto"/>
              <w:right w:val="single" w:sz="4" w:space="0" w:color="auto"/>
            </w:tcBorders>
            <w:shd w:val="clear" w:color="auto" w:fill="auto"/>
            <w:noWrap/>
            <w:vAlign w:val="bottom"/>
            <w:hideMark/>
          </w:tcPr>
          <w:p w14:paraId="3B78BF8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14</w:t>
            </w:r>
          </w:p>
        </w:tc>
        <w:tc>
          <w:tcPr>
            <w:tcW w:w="950" w:type="dxa"/>
            <w:tcBorders>
              <w:top w:val="nil"/>
              <w:left w:val="nil"/>
              <w:bottom w:val="single" w:sz="4" w:space="0" w:color="auto"/>
              <w:right w:val="single" w:sz="4" w:space="0" w:color="auto"/>
            </w:tcBorders>
            <w:shd w:val="clear" w:color="auto" w:fill="auto"/>
            <w:noWrap/>
            <w:vAlign w:val="bottom"/>
            <w:hideMark/>
          </w:tcPr>
          <w:p w14:paraId="2258BCA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550</w:t>
            </w:r>
          </w:p>
        </w:tc>
        <w:tc>
          <w:tcPr>
            <w:tcW w:w="1128" w:type="dxa"/>
            <w:tcBorders>
              <w:top w:val="nil"/>
              <w:left w:val="nil"/>
              <w:bottom w:val="single" w:sz="4" w:space="0" w:color="auto"/>
              <w:right w:val="single" w:sz="4" w:space="0" w:color="auto"/>
            </w:tcBorders>
            <w:shd w:val="clear" w:color="auto" w:fill="auto"/>
            <w:noWrap/>
            <w:vAlign w:val="bottom"/>
            <w:hideMark/>
          </w:tcPr>
          <w:p w14:paraId="414AB40D"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886</w:t>
            </w:r>
          </w:p>
        </w:tc>
        <w:tc>
          <w:tcPr>
            <w:tcW w:w="1032" w:type="dxa"/>
            <w:tcBorders>
              <w:top w:val="nil"/>
              <w:left w:val="nil"/>
              <w:bottom w:val="single" w:sz="4" w:space="0" w:color="auto"/>
              <w:right w:val="single" w:sz="4" w:space="0" w:color="auto"/>
            </w:tcBorders>
            <w:shd w:val="clear" w:color="auto" w:fill="auto"/>
            <w:noWrap/>
            <w:vAlign w:val="bottom"/>
            <w:hideMark/>
          </w:tcPr>
          <w:p w14:paraId="69EA3EF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1,18%</w:t>
            </w:r>
          </w:p>
        </w:tc>
      </w:tr>
      <w:tr w:rsidR="00DC6AAD" w:rsidRPr="006B6796" w14:paraId="45CF86F3" w14:textId="77777777" w:rsidTr="00744E87">
        <w:trPr>
          <w:trHeight w:val="495"/>
        </w:trPr>
        <w:tc>
          <w:tcPr>
            <w:tcW w:w="2322" w:type="dxa"/>
            <w:vMerge/>
            <w:tcBorders>
              <w:top w:val="single" w:sz="4" w:space="0" w:color="auto"/>
              <w:left w:val="single" w:sz="4" w:space="0" w:color="auto"/>
              <w:bottom w:val="nil"/>
              <w:right w:val="single" w:sz="4" w:space="0" w:color="auto"/>
            </w:tcBorders>
            <w:vAlign w:val="center"/>
            <w:hideMark/>
          </w:tcPr>
          <w:p w14:paraId="24CE68F2"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1D9CD55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24B16B1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261</w:t>
            </w:r>
          </w:p>
        </w:tc>
        <w:tc>
          <w:tcPr>
            <w:tcW w:w="947" w:type="dxa"/>
            <w:tcBorders>
              <w:top w:val="nil"/>
              <w:left w:val="nil"/>
              <w:bottom w:val="single" w:sz="4" w:space="0" w:color="auto"/>
              <w:right w:val="single" w:sz="4" w:space="0" w:color="auto"/>
            </w:tcBorders>
            <w:shd w:val="clear" w:color="auto" w:fill="auto"/>
            <w:noWrap/>
            <w:vAlign w:val="bottom"/>
            <w:hideMark/>
          </w:tcPr>
          <w:p w14:paraId="4566D85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53</w:t>
            </w:r>
          </w:p>
        </w:tc>
        <w:tc>
          <w:tcPr>
            <w:tcW w:w="952" w:type="dxa"/>
            <w:tcBorders>
              <w:top w:val="nil"/>
              <w:left w:val="nil"/>
              <w:bottom w:val="single" w:sz="4" w:space="0" w:color="auto"/>
              <w:right w:val="single" w:sz="4" w:space="0" w:color="auto"/>
            </w:tcBorders>
            <w:shd w:val="clear" w:color="auto" w:fill="auto"/>
            <w:noWrap/>
            <w:vAlign w:val="bottom"/>
            <w:hideMark/>
          </w:tcPr>
          <w:p w14:paraId="1586E3F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13</w:t>
            </w:r>
          </w:p>
        </w:tc>
        <w:tc>
          <w:tcPr>
            <w:tcW w:w="950" w:type="dxa"/>
            <w:tcBorders>
              <w:top w:val="nil"/>
              <w:left w:val="nil"/>
              <w:bottom w:val="single" w:sz="4" w:space="0" w:color="auto"/>
              <w:right w:val="single" w:sz="4" w:space="0" w:color="auto"/>
            </w:tcBorders>
            <w:shd w:val="clear" w:color="auto" w:fill="auto"/>
            <w:noWrap/>
            <w:vAlign w:val="bottom"/>
            <w:hideMark/>
          </w:tcPr>
          <w:p w14:paraId="72E44A7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544</w:t>
            </w:r>
          </w:p>
        </w:tc>
        <w:tc>
          <w:tcPr>
            <w:tcW w:w="1128" w:type="dxa"/>
            <w:tcBorders>
              <w:top w:val="nil"/>
              <w:left w:val="nil"/>
              <w:bottom w:val="single" w:sz="4" w:space="0" w:color="auto"/>
              <w:right w:val="single" w:sz="4" w:space="0" w:color="auto"/>
            </w:tcBorders>
            <w:shd w:val="clear" w:color="auto" w:fill="auto"/>
            <w:noWrap/>
            <w:vAlign w:val="bottom"/>
            <w:hideMark/>
          </w:tcPr>
          <w:p w14:paraId="3B09282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871</w:t>
            </w:r>
          </w:p>
        </w:tc>
        <w:tc>
          <w:tcPr>
            <w:tcW w:w="1032" w:type="dxa"/>
            <w:tcBorders>
              <w:top w:val="nil"/>
              <w:left w:val="nil"/>
              <w:bottom w:val="single" w:sz="4" w:space="0" w:color="auto"/>
              <w:right w:val="single" w:sz="4" w:space="0" w:color="auto"/>
            </w:tcBorders>
            <w:shd w:val="clear" w:color="auto" w:fill="auto"/>
            <w:noWrap/>
            <w:vAlign w:val="bottom"/>
            <w:hideMark/>
          </w:tcPr>
          <w:p w14:paraId="6956E65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1,15%</w:t>
            </w:r>
          </w:p>
        </w:tc>
      </w:tr>
      <w:tr w:rsidR="00DC6AAD" w:rsidRPr="006B6796" w14:paraId="7A94A5C8" w14:textId="77777777" w:rsidTr="00683004">
        <w:trPr>
          <w:trHeight w:val="315"/>
        </w:trPr>
        <w:tc>
          <w:tcPr>
            <w:tcW w:w="2322" w:type="dxa"/>
            <w:vMerge/>
            <w:tcBorders>
              <w:top w:val="single" w:sz="4" w:space="0" w:color="auto"/>
              <w:left w:val="single" w:sz="4" w:space="0" w:color="auto"/>
              <w:bottom w:val="nil"/>
              <w:right w:val="single" w:sz="4" w:space="0" w:color="auto"/>
            </w:tcBorders>
            <w:vAlign w:val="center"/>
            <w:hideMark/>
          </w:tcPr>
          <w:p w14:paraId="4578EEF8"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4B748000"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4F5F6D05"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268</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1AE63DAC"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54</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0DD8B5B2"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14</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4DBF28B5"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535</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398986B0"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871</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6C00ED18"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1,14%</w:t>
            </w:r>
          </w:p>
        </w:tc>
      </w:tr>
      <w:tr w:rsidR="00DC6AAD" w:rsidRPr="006B6796" w14:paraId="2D7759FC" w14:textId="77777777" w:rsidTr="00744E87">
        <w:trPr>
          <w:trHeight w:val="315"/>
        </w:trPr>
        <w:tc>
          <w:tcPr>
            <w:tcW w:w="23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8D16F"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Tuzlanski</w:t>
            </w:r>
          </w:p>
        </w:tc>
        <w:tc>
          <w:tcPr>
            <w:tcW w:w="960" w:type="dxa"/>
            <w:tcBorders>
              <w:top w:val="nil"/>
              <w:left w:val="nil"/>
              <w:bottom w:val="single" w:sz="4" w:space="0" w:color="auto"/>
              <w:right w:val="single" w:sz="4" w:space="0" w:color="auto"/>
            </w:tcBorders>
            <w:shd w:val="clear" w:color="auto" w:fill="auto"/>
            <w:noWrap/>
            <w:vAlign w:val="bottom"/>
            <w:hideMark/>
          </w:tcPr>
          <w:p w14:paraId="6E7758D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73979E1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2.963</w:t>
            </w:r>
          </w:p>
        </w:tc>
        <w:tc>
          <w:tcPr>
            <w:tcW w:w="947" w:type="dxa"/>
            <w:tcBorders>
              <w:top w:val="nil"/>
              <w:left w:val="nil"/>
              <w:bottom w:val="single" w:sz="4" w:space="0" w:color="auto"/>
              <w:right w:val="single" w:sz="4" w:space="0" w:color="auto"/>
            </w:tcBorders>
            <w:shd w:val="clear" w:color="auto" w:fill="auto"/>
            <w:noWrap/>
            <w:vAlign w:val="bottom"/>
            <w:hideMark/>
          </w:tcPr>
          <w:p w14:paraId="1A99F4B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666</w:t>
            </w:r>
          </w:p>
        </w:tc>
        <w:tc>
          <w:tcPr>
            <w:tcW w:w="952" w:type="dxa"/>
            <w:tcBorders>
              <w:top w:val="nil"/>
              <w:left w:val="nil"/>
              <w:bottom w:val="single" w:sz="4" w:space="0" w:color="auto"/>
              <w:right w:val="single" w:sz="4" w:space="0" w:color="auto"/>
            </w:tcBorders>
            <w:shd w:val="clear" w:color="auto" w:fill="auto"/>
            <w:noWrap/>
            <w:vAlign w:val="bottom"/>
            <w:hideMark/>
          </w:tcPr>
          <w:p w14:paraId="1F4CCD4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174</w:t>
            </w:r>
          </w:p>
        </w:tc>
        <w:tc>
          <w:tcPr>
            <w:tcW w:w="950" w:type="dxa"/>
            <w:tcBorders>
              <w:top w:val="nil"/>
              <w:left w:val="nil"/>
              <w:bottom w:val="single" w:sz="4" w:space="0" w:color="auto"/>
              <w:right w:val="single" w:sz="4" w:space="0" w:color="auto"/>
            </w:tcBorders>
            <w:shd w:val="clear" w:color="auto" w:fill="auto"/>
            <w:noWrap/>
            <w:vAlign w:val="bottom"/>
            <w:hideMark/>
          </w:tcPr>
          <w:p w14:paraId="606C896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11.531</w:t>
            </w:r>
          </w:p>
        </w:tc>
        <w:tc>
          <w:tcPr>
            <w:tcW w:w="1128" w:type="dxa"/>
            <w:tcBorders>
              <w:top w:val="nil"/>
              <w:left w:val="nil"/>
              <w:bottom w:val="single" w:sz="4" w:space="0" w:color="auto"/>
              <w:right w:val="single" w:sz="4" w:space="0" w:color="auto"/>
            </w:tcBorders>
            <w:shd w:val="clear" w:color="auto" w:fill="auto"/>
            <w:noWrap/>
            <w:vAlign w:val="bottom"/>
            <w:hideMark/>
          </w:tcPr>
          <w:p w14:paraId="3EE0992D"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15.334</w:t>
            </w:r>
          </w:p>
        </w:tc>
        <w:tc>
          <w:tcPr>
            <w:tcW w:w="1032" w:type="dxa"/>
            <w:tcBorders>
              <w:top w:val="nil"/>
              <w:left w:val="nil"/>
              <w:bottom w:val="single" w:sz="4" w:space="0" w:color="auto"/>
              <w:right w:val="single" w:sz="4" w:space="0" w:color="auto"/>
            </w:tcBorders>
            <w:shd w:val="clear" w:color="auto" w:fill="auto"/>
            <w:noWrap/>
            <w:vAlign w:val="bottom"/>
            <w:hideMark/>
          </w:tcPr>
          <w:p w14:paraId="49611BE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20,67%</w:t>
            </w:r>
          </w:p>
        </w:tc>
      </w:tr>
      <w:tr w:rsidR="00DC6AAD" w:rsidRPr="006B6796" w14:paraId="66D47CFE" w14:textId="77777777" w:rsidTr="00744E87">
        <w:trPr>
          <w:trHeight w:val="315"/>
        </w:trPr>
        <w:tc>
          <w:tcPr>
            <w:tcW w:w="2322" w:type="dxa"/>
            <w:vMerge/>
            <w:tcBorders>
              <w:top w:val="single" w:sz="4" w:space="0" w:color="auto"/>
              <w:left w:val="single" w:sz="4" w:space="0" w:color="auto"/>
              <w:bottom w:val="single" w:sz="4" w:space="0" w:color="000000"/>
              <w:right w:val="single" w:sz="4" w:space="0" w:color="auto"/>
            </w:tcBorders>
            <w:vAlign w:val="center"/>
            <w:hideMark/>
          </w:tcPr>
          <w:p w14:paraId="56C3EAD1"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35143EB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64B62CA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2.914</w:t>
            </w:r>
          </w:p>
        </w:tc>
        <w:tc>
          <w:tcPr>
            <w:tcW w:w="947" w:type="dxa"/>
            <w:tcBorders>
              <w:top w:val="nil"/>
              <w:left w:val="nil"/>
              <w:bottom w:val="single" w:sz="4" w:space="0" w:color="auto"/>
              <w:right w:val="single" w:sz="4" w:space="0" w:color="auto"/>
            </w:tcBorders>
            <w:shd w:val="clear" w:color="auto" w:fill="auto"/>
            <w:noWrap/>
            <w:vAlign w:val="bottom"/>
            <w:hideMark/>
          </w:tcPr>
          <w:p w14:paraId="3BDBAB0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685</w:t>
            </w:r>
          </w:p>
        </w:tc>
        <w:tc>
          <w:tcPr>
            <w:tcW w:w="952" w:type="dxa"/>
            <w:tcBorders>
              <w:top w:val="nil"/>
              <w:left w:val="nil"/>
              <w:bottom w:val="single" w:sz="4" w:space="0" w:color="auto"/>
              <w:right w:val="single" w:sz="4" w:space="0" w:color="auto"/>
            </w:tcBorders>
            <w:shd w:val="clear" w:color="auto" w:fill="auto"/>
            <w:noWrap/>
            <w:vAlign w:val="bottom"/>
            <w:hideMark/>
          </w:tcPr>
          <w:p w14:paraId="753E0E4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195</w:t>
            </w:r>
          </w:p>
        </w:tc>
        <w:tc>
          <w:tcPr>
            <w:tcW w:w="950" w:type="dxa"/>
            <w:tcBorders>
              <w:top w:val="nil"/>
              <w:left w:val="nil"/>
              <w:bottom w:val="single" w:sz="4" w:space="0" w:color="auto"/>
              <w:right w:val="single" w:sz="4" w:space="0" w:color="auto"/>
            </w:tcBorders>
            <w:shd w:val="clear" w:color="auto" w:fill="auto"/>
            <w:noWrap/>
            <w:vAlign w:val="bottom"/>
            <w:hideMark/>
          </w:tcPr>
          <w:p w14:paraId="68B5A91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11.442</w:t>
            </w:r>
          </w:p>
        </w:tc>
        <w:tc>
          <w:tcPr>
            <w:tcW w:w="1128" w:type="dxa"/>
            <w:tcBorders>
              <w:top w:val="nil"/>
              <w:left w:val="nil"/>
              <w:bottom w:val="single" w:sz="4" w:space="0" w:color="auto"/>
              <w:right w:val="single" w:sz="4" w:space="0" w:color="auto"/>
            </w:tcBorders>
            <w:shd w:val="clear" w:color="auto" w:fill="auto"/>
            <w:noWrap/>
            <w:vAlign w:val="bottom"/>
            <w:hideMark/>
          </w:tcPr>
          <w:p w14:paraId="1C25546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15.236</w:t>
            </w:r>
          </w:p>
        </w:tc>
        <w:tc>
          <w:tcPr>
            <w:tcW w:w="1032" w:type="dxa"/>
            <w:tcBorders>
              <w:top w:val="nil"/>
              <w:left w:val="nil"/>
              <w:bottom w:val="single" w:sz="4" w:space="0" w:color="auto"/>
              <w:right w:val="single" w:sz="4" w:space="0" w:color="auto"/>
            </w:tcBorders>
            <w:shd w:val="clear" w:color="auto" w:fill="auto"/>
            <w:noWrap/>
            <w:vAlign w:val="bottom"/>
            <w:hideMark/>
          </w:tcPr>
          <w:p w14:paraId="5F23432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20,27%</w:t>
            </w:r>
          </w:p>
        </w:tc>
      </w:tr>
      <w:tr w:rsidR="00DC6AAD" w:rsidRPr="006B6796" w14:paraId="27F0BBC8" w14:textId="77777777" w:rsidTr="00744E87">
        <w:trPr>
          <w:trHeight w:val="315"/>
        </w:trPr>
        <w:tc>
          <w:tcPr>
            <w:tcW w:w="2322" w:type="dxa"/>
            <w:vMerge/>
            <w:tcBorders>
              <w:top w:val="single" w:sz="4" w:space="0" w:color="auto"/>
              <w:left w:val="single" w:sz="4" w:space="0" w:color="auto"/>
              <w:bottom w:val="single" w:sz="4" w:space="0" w:color="000000"/>
              <w:right w:val="single" w:sz="4" w:space="0" w:color="auto"/>
            </w:tcBorders>
            <w:vAlign w:val="center"/>
            <w:hideMark/>
          </w:tcPr>
          <w:p w14:paraId="00CC1B35"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313C683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7575F28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2.820</w:t>
            </w:r>
          </w:p>
        </w:tc>
        <w:tc>
          <w:tcPr>
            <w:tcW w:w="947" w:type="dxa"/>
            <w:tcBorders>
              <w:top w:val="nil"/>
              <w:left w:val="nil"/>
              <w:bottom w:val="single" w:sz="4" w:space="0" w:color="auto"/>
              <w:right w:val="single" w:sz="4" w:space="0" w:color="auto"/>
            </w:tcBorders>
            <w:shd w:val="clear" w:color="auto" w:fill="auto"/>
            <w:noWrap/>
            <w:vAlign w:val="bottom"/>
            <w:hideMark/>
          </w:tcPr>
          <w:p w14:paraId="48E5D20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654</w:t>
            </w:r>
          </w:p>
        </w:tc>
        <w:tc>
          <w:tcPr>
            <w:tcW w:w="952" w:type="dxa"/>
            <w:tcBorders>
              <w:top w:val="nil"/>
              <w:left w:val="nil"/>
              <w:bottom w:val="single" w:sz="4" w:space="0" w:color="auto"/>
              <w:right w:val="single" w:sz="4" w:space="0" w:color="auto"/>
            </w:tcBorders>
            <w:shd w:val="clear" w:color="auto" w:fill="auto"/>
            <w:noWrap/>
            <w:vAlign w:val="bottom"/>
            <w:hideMark/>
          </w:tcPr>
          <w:p w14:paraId="33B7934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191</w:t>
            </w:r>
          </w:p>
        </w:tc>
        <w:tc>
          <w:tcPr>
            <w:tcW w:w="950" w:type="dxa"/>
            <w:tcBorders>
              <w:top w:val="nil"/>
              <w:left w:val="nil"/>
              <w:bottom w:val="single" w:sz="4" w:space="0" w:color="auto"/>
              <w:right w:val="single" w:sz="4" w:space="0" w:color="auto"/>
            </w:tcBorders>
            <w:shd w:val="clear" w:color="auto" w:fill="auto"/>
            <w:noWrap/>
            <w:vAlign w:val="bottom"/>
            <w:hideMark/>
          </w:tcPr>
          <w:p w14:paraId="249A469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11.408</w:t>
            </w:r>
          </w:p>
        </w:tc>
        <w:tc>
          <w:tcPr>
            <w:tcW w:w="1128" w:type="dxa"/>
            <w:tcBorders>
              <w:top w:val="nil"/>
              <w:left w:val="nil"/>
              <w:bottom w:val="single" w:sz="4" w:space="0" w:color="auto"/>
              <w:right w:val="single" w:sz="4" w:space="0" w:color="auto"/>
            </w:tcBorders>
            <w:shd w:val="clear" w:color="auto" w:fill="auto"/>
            <w:noWrap/>
            <w:vAlign w:val="bottom"/>
            <w:hideMark/>
          </w:tcPr>
          <w:p w14:paraId="4D91E37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15.073</w:t>
            </w:r>
          </w:p>
        </w:tc>
        <w:tc>
          <w:tcPr>
            <w:tcW w:w="1032" w:type="dxa"/>
            <w:tcBorders>
              <w:top w:val="nil"/>
              <w:left w:val="nil"/>
              <w:bottom w:val="single" w:sz="4" w:space="0" w:color="auto"/>
              <w:right w:val="single" w:sz="4" w:space="0" w:color="auto"/>
            </w:tcBorders>
            <w:shd w:val="clear" w:color="auto" w:fill="auto"/>
            <w:noWrap/>
            <w:vAlign w:val="bottom"/>
            <w:hideMark/>
          </w:tcPr>
          <w:p w14:paraId="70D1492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19,96%</w:t>
            </w:r>
          </w:p>
        </w:tc>
      </w:tr>
      <w:tr w:rsidR="00DC6AAD" w:rsidRPr="006B6796" w14:paraId="7C77BB26" w14:textId="77777777" w:rsidTr="00683004">
        <w:trPr>
          <w:trHeight w:val="315"/>
        </w:trPr>
        <w:tc>
          <w:tcPr>
            <w:tcW w:w="2322" w:type="dxa"/>
            <w:vMerge/>
            <w:tcBorders>
              <w:top w:val="single" w:sz="4" w:space="0" w:color="auto"/>
              <w:left w:val="single" w:sz="4" w:space="0" w:color="auto"/>
              <w:bottom w:val="single" w:sz="4" w:space="0" w:color="000000"/>
              <w:right w:val="single" w:sz="4" w:space="0" w:color="auto"/>
            </w:tcBorders>
            <w:vAlign w:val="center"/>
            <w:hideMark/>
          </w:tcPr>
          <w:p w14:paraId="5960B44F"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6DF20D91"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79FF6FD4"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2.971</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57721778"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641</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4EFB2F62"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196</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1555A5CF"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11.261</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11C6BC8F"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15.069</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103C82EF"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19,64%</w:t>
            </w:r>
          </w:p>
        </w:tc>
      </w:tr>
      <w:tr w:rsidR="00DC6AAD" w:rsidRPr="006B6796" w14:paraId="37936C4F" w14:textId="77777777" w:rsidTr="00744E87">
        <w:trPr>
          <w:trHeight w:val="315"/>
        </w:trPr>
        <w:tc>
          <w:tcPr>
            <w:tcW w:w="2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53A714"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Zeničko dobojski</w:t>
            </w:r>
          </w:p>
        </w:tc>
        <w:tc>
          <w:tcPr>
            <w:tcW w:w="960" w:type="dxa"/>
            <w:tcBorders>
              <w:top w:val="nil"/>
              <w:left w:val="nil"/>
              <w:bottom w:val="single" w:sz="4" w:space="0" w:color="auto"/>
              <w:right w:val="single" w:sz="4" w:space="0" w:color="auto"/>
            </w:tcBorders>
            <w:shd w:val="clear" w:color="auto" w:fill="auto"/>
            <w:noWrap/>
            <w:vAlign w:val="bottom"/>
            <w:hideMark/>
          </w:tcPr>
          <w:p w14:paraId="5C3D70E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3C21F29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2.084</w:t>
            </w:r>
          </w:p>
        </w:tc>
        <w:tc>
          <w:tcPr>
            <w:tcW w:w="947" w:type="dxa"/>
            <w:tcBorders>
              <w:top w:val="nil"/>
              <w:left w:val="nil"/>
              <w:bottom w:val="single" w:sz="4" w:space="0" w:color="auto"/>
              <w:right w:val="single" w:sz="4" w:space="0" w:color="auto"/>
            </w:tcBorders>
            <w:shd w:val="clear" w:color="auto" w:fill="auto"/>
            <w:noWrap/>
            <w:vAlign w:val="bottom"/>
            <w:hideMark/>
          </w:tcPr>
          <w:p w14:paraId="7D64510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536</w:t>
            </w:r>
          </w:p>
        </w:tc>
        <w:tc>
          <w:tcPr>
            <w:tcW w:w="952" w:type="dxa"/>
            <w:tcBorders>
              <w:top w:val="nil"/>
              <w:left w:val="nil"/>
              <w:bottom w:val="single" w:sz="4" w:space="0" w:color="auto"/>
              <w:right w:val="single" w:sz="4" w:space="0" w:color="auto"/>
            </w:tcBorders>
            <w:shd w:val="clear" w:color="auto" w:fill="auto"/>
            <w:noWrap/>
            <w:vAlign w:val="bottom"/>
            <w:hideMark/>
          </w:tcPr>
          <w:p w14:paraId="0C86B43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163</w:t>
            </w:r>
          </w:p>
        </w:tc>
        <w:tc>
          <w:tcPr>
            <w:tcW w:w="950" w:type="dxa"/>
            <w:tcBorders>
              <w:top w:val="nil"/>
              <w:left w:val="nil"/>
              <w:bottom w:val="single" w:sz="4" w:space="0" w:color="auto"/>
              <w:right w:val="single" w:sz="4" w:space="0" w:color="auto"/>
            </w:tcBorders>
            <w:shd w:val="clear" w:color="auto" w:fill="auto"/>
            <w:noWrap/>
            <w:vAlign w:val="bottom"/>
            <w:hideMark/>
          </w:tcPr>
          <w:p w14:paraId="26BCA74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7.601</w:t>
            </w:r>
          </w:p>
        </w:tc>
        <w:tc>
          <w:tcPr>
            <w:tcW w:w="1128" w:type="dxa"/>
            <w:tcBorders>
              <w:top w:val="nil"/>
              <w:left w:val="nil"/>
              <w:bottom w:val="single" w:sz="4" w:space="0" w:color="auto"/>
              <w:right w:val="single" w:sz="4" w:space="0" w:color="auto"/>
            </w:tcBorders>
            <w:shd w:val="clear" w:color="auto" w:fill="auto"/>
            <w:noWrap/>
            <w:vAlign w:val="bottom"/>
            <w:hideMark/>
          </w:tcPr>
          <w:p w14:paraId="2E6A2DF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10.384</w:t>
            </w:r>
          </w:p>
        </w:tc>
        <w:tc>
          <w:tcPr>
            <w:tcW w:w="1032" w:type="dxa"/>
            <w:tcBorders>
              <w:top w:val="nil"/>
              <w:left w:val="nil"/>
              <w:bottom w:val="single" w:sz="4" w:space="0" w:color="auto"/>
              <w:right w:val="single" w:sz="4" w:space="0" w:color="auto"/>
            </w:tcBorders>
            <w:shd w:val="clear" w:color="auto" w:fill="auto"/>
            <w:noWrap/>
            <w:vAlign w:val="bottom"/>
            <w:hideMark/>
          </w:tcPr>
          <w:p w14:paraId="3A71B75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14,00%</w:t>
            </w:r>
          </w:p>
        </w:tc>
      </w:tr>
      <w:tr w:rsidR="00DC6AAD" w:rsidRPr="006B6796" w14:paraId="5DF0BA12"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2DAED529"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2734642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1FF3195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2.123</w:t>
            </w:r>
          </w:p>
        </w:tc>
        <w:tc>
          <w:tcPr>
            <w:tcW w:w="947" w:type="dxa"/>
            <w:tcBorders>
              <w:top w:val="nil"/>
              <w:left w:val="nil"/>
              <w:bottom w:val="single" w:sz="4" w:space="0" w:color="auto"/>
              <w:right w:val="single" w:sz="4" w:space="0" w:color="auto"/>
            </w:tcBorders>
            <w:shd w:val="clear" w:color="auto" w:fill="auto"/>
            <w:noWrap/>
            <w:vAlign w:val="bottom"/>
            <w:hideMark/>
          </w:tcPr>
          <w:p w14:paraId="4C1FEB0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558</w:t>
            </w:r>
          </w:p>
        </w:tc>
        <w:tc>
          <w:tcPr>
            <w:tcW w:w="952" w:type="dxa"/>
            <w:tcBorders>
              <w:top w:val="nil"/>
              <w:left w:val="nil"/>
              <w:bottom w:val="single" w:sz="4" w:space="0" w:color="auto"/>
              <w:right w:val="single" w:sz="4" w:space="0" w:color="auto"/>
            </w:tcBorders>
            <w:shd w:val="clear" w:color="auto" w:fill="auto"/>
            <w:noWrap/>
            <w:vAlign w:val="bottom"/>
            <w:hideMark/>
          </w:tcPr>
          <w:p w14:paraId="7F88763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161</w:t>
            </w:r>
          </w:p>
        </w:tc>
        <w:tc>
          <w:tcPr>
            <w:tcW w:w="950" w:type="dxa"/>
            <w:tcBorders>
              <w:top w:val="nil"/>
              <w:left w:val="nil"/>
              <w:bottom w:val="single" w:sz="4" w:space="0" w:color="auto"/>
              <w:right w:val="single" w:sz="4" w:space="0" w:color="auto"/>
            </w:tcBorders>
            <w:shd w:val="clear" w:color="auto" w:fill="auto"/>
            <w:noWrap/>
            <w:vAlign w:val="bottom"/>
            <w:hideMark/>
          </w:tcPr>
          <w:p w14:paraId="312CBDF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7.915</w:t>
            </w:r>
          </w:p>
        </w:tc>
        <w:tc>
          <w:tcPr>
            <w:tcW w:w="1128" w:type="dxa"/>
            <w:tcBorders>
              <w:top w:val="nil"/>
              <w:left w:val="nil"/>
              <w:bottom w:val="single" w:sz="4" w:space="0" w:color="auto"/>
              <w:right w:val="single" w:sz="4" w:space="0" w:color="auto"/>
            </w:tcBorders>
            <w:shd w:val="clear" w:color="auto" w:fill="auto"/>
            <w:noWrap/>
            <w:vAlign w:val="bottom"/>
            <w:hideMark/>
          </w:tcPr>
          <w:p w14:paraId="1C8011A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10.757</w:t>
            </w:r>
          </w:p>
        </w:tc>
        <w:tc>
          <w:tcPr>
            <w:tcW w:w="1032" w:type="dxa"/>
            <w:tcBorders>
              <w:top w:val="nil"/>
              <w:left w:val="nil"/>
              <w:bottom w:val="single" w:sz="4" w:space="0" w:color="auto"/>
              <w:right w:val="single" w:sz="4" w:space="0" w:color="auto"/>
            </w:tcBorders>
            <w:shd w:val="clear" w:color="auto" w:fill="auto"/>
            <w:noWrap/>
            <w:vAlign w:val="bottom"/>
            <w:hideMark/>
          </w:tcPr>
          <w:p w14:paraId="78332A7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14,31%</w:t>
            </w:r>
          </w:p>
        </w:tc>
      </w:tr>
      <w:tr w:rsidR="00DC6AAD" w:rsidRPr="006B6796" w14:paraId="08D878F7"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771F3035"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0289622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6B86760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2.176</w:t>
            </w:r>
          </w:p>
        </w:tc>
        <w:tc>
          <w:tcPr>
            <w:tcW w:w="947" w:type="dxa"/>
            <w:tcBorders>
              <w:top w:val="nil"/>
              <w:left w:val="nil"/>
              <w:bottom w:val="single" w:sz="4" w:space="0" w:color="auto"/>
              <w:right w:val="single" w:sz="4" w:space="0" w:color="auto"/>
            </w:tcBorders>
            <w:shd w:val="clear" w:color="auto" w:fill="auto"/>
            <w:noWrap/>
            <w:vAlign w:val="bottom"/>
            <w:hideMark/>
          </w:tcPr>
          <w:p w14:paraId="206A2BC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572</w:t>
            </w:r>
          </w:p>
        </w:tc>
        <w:tc>
          <w:tcPr>
            <w:tcW w:w="952" w:type="dxa"/>
            <w:tcBorders>
              <w:top w:val="nil"/>
              <w:left w:val="nil"/>
              <w:bottom w:val="single" w:sz="4" w:space="0" w:color="auto"/>
              <w:right w:val="single" w:sz="4" w:space="0" w:color="auto"/>
            </w:tcBorders>
            <w:shd w:val="clear" w:color="auto" w:fill="auto"/>
            <w:noWrap/>
            <w:vAlign w:val="bottom"/>
            <w:hideMark/>
          </w:tcPr>
          <w:p w14:paraId="241D73C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152</w:t>
            </w:r>
          </w:p>
        </w:tc>
        <w:tc>
          <w:tcPr>
            <w:tcW w:w="950" w:type="dxa"/>
            <w:tcBorders>
              <w:top w:val="nil"/>
              <w:left w:val="nil"/>
              <w:bottom w:val="single" w:sz="4" w:space="0" w:color="auto"/>
              <w:right w:val="single" w:sz="4" w:space="0" w:color="auto"/>
            </w:tcBorders>
            <w:shd w:val="clear" w:color="auto" w:fill="auto"/>
            <w:noWrap/>
            <w:vAlign w:val="bottom"/>
            <w:hideMark/>
          </w:tcPr>
          <w:p w14:paraId="18EFDCB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8.065</w:t>
            </w:r>
          </w:p>
        </w:tc>
        <w:tc>
          <w:tcPr>
            <w:tcW w:w="1128" w:type="dxa"/>
            <w:tcBorders>
              <w:top w:val="nil"/>
              <w:left w:val="nil"/>
              <w:bottom w:val="single" w:sz="4" w:space="0" w:color="auto"/>
              <w:right w:val="single" w:sz="4" w:space="0" w:color="auto"/>
            </w:tcBorders>
            <w:shd w:val="clear" w:color="auto" w:fill="auto"/>
            <w:noWrap/>
            <w:vAlign w:val="bottom"/>
            <w:hideMark/>
          </w:tcPr>
          <w:p w14:paraId="44F2DAC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10.965</w:t>
            </w:r>
          </w:p>
        </w:tc>
        <w:tc>
          <w:tcPr>
            <w:tcW w:w="1032" w:type="dxa"/>
            <w:tcBorders>
              <w:top w:val="nil"/>
              <w:left w:val="nil"/>
              <w:bottom w:val="single" w:sz="4" w:space="0" w:color="auto"/>
              <w:right w:val="single" w:sz="4" w:space="0" w:color="auto"/>
            </w:tcBorders>
            <w:shd w:val="clear" w:color="auto" w:fill="auto"/>
            <w:noWrap/>
            <w:vAlign w:val="bottom"/>
            <w:hideMark/>
          </w:tcPr>
          <w:p w14:paraId="33C0DC8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14,52%</w:t>
            </w:r>
          </w:p>
        </w:tc>
      </w:tr>
      <w:tr w:rsidR="00DC6AAD" w:rsidRPr="006B6796" w14:paraId="51F7CBBA" w14:textId="77777777" w:rsidTr="00683004">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73A55A5E"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2988C2A8"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7EA08044"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2.242</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6E65BDB7"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546</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502C0FFD"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164</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456E3626"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8.168</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30203675"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11.120</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5ED5FA7F"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14,49%</w:t>
            </w:r>
          </w:p>
        </w:tc>
      </w:tr>
      <w:tr w:rsidR="00DC6AAD" w:rsidRPr="006B6796" w14:paraId="0F57D874" w14:textId="77777777" w:rsidTr="00744E87">
        <w:trPr>
          <w:trHeight w:val="315"/>
        </w:trPr>
        <w:tc>
          <w:tcPr>
            <w:tcW w:w="2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4F867F"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Bosansko - podrinjski</w:t>
            </w:r>
          </w:p>
        </w:tc>
        <w:tc>
          <w:tcPr>
            <w:tcW w:w="960" w:type="dxa"/>
            <w:tcBorders>
              <w:top w:val="nil"/>
              <w:left w:val="nil"/>
              <w:bottom w:val="single" w:sz="4" w:space="0" w:color="auto"/>
              <w:right w:val="single" w:sz="4" w:space="0" w:color="auto"/>
            </w:tcBorders>
            <w:shd w:val="clear" w:color="auto" w:fill="auto"/>
            <w:noWrap/>
            <w:vAlign w:val="bottom"/>
            <w:hideMark/>
          </w:tcPr>
          <w:p w14:paraId="47E78D8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192C5FC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139</w:t>
            </w:r>
          </w:p>
        </w:tc>
        <w:tc>
          <w:tcPr>
            <w:tcW w:w="947" w:type="dxa"/>
            <w:tcBorders>
              <w:top w:val="nil"/>
              <w:left w:val="nil"/>
              <w:bottom w:val="single" w:sz="4" w:space="0" w:color="auto"/>
              <w:right w:val="single" w:sz="4" w:space="0" w:color="auto"/>
            </w:tcBorders>
            <w:shd w:val="clear" w:color="auto" w:fill="auto"/>
            <w:noWrap/>
            <w:vAlign w:val="bottom"/>
            <w:hideMark/>
          </w:tcPr>
          <w:p w14:paraId="566283C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33</w:t>
            </w:r>
          </w:p>
        </w:tc>
        <w:tc>
          <w:tcPr>
            <w:tcW w:w="952" w:type="dxa"/>
            <w:tcBorders>
              <w:top w:val="nil"/>
              <w:left w:val="nil"/>
              <w:bottom w:val="single" w:sz="4" w:space="0" w:color="auto"/>
              <w:right w:val="single" w:sz="4" w:space="0" w:color="auto"/>
            </w:tcBorders>
            <w:shd w:val="clear" w:color="auto" w:fill="auto"/>
            <w:noWrap/>
            <w:vAlign w:val="bottom"/>
            <w:hideMark/>
          </w:tcPr>
          <w:p w14:paraId="1C6604C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w:t>
            </w:r>
          </w:p>
        </w:tc>
        <w:tc>
          <w:tcPr>
            <w:tcW w:w="950" w:type="dxa"/>
            <w:tcBorders>
              <w:top w:val="nil"/>
              <w:left w:val="nil"/>
              <w:bottom w:val="single" w:sz="4" w:space="0" w:color="auto"/>
              <w:right w:val="single" w:sz="4" w:space="0" w:color="auto"/>
            </w:tcBorders>
            <w:shd w:val="clear" w:color="auto" w:fill="auto"/>
            <w:noWrap/>
            <w:vAlign w:val="bottom"/>
            <w:hideMark/>
          </w:tcPr>
          <w:p w14:paraId="10D2ACA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465</w:t>
            </w:r>
          </w:p>
        </w:tc>
        <w:tc>
          <w:tcPr>
            <w:tcW w:w="1128" w:type="dxa"/>
            <w:tcBorders>
              <w:top w:val="nil"/>
              <w:left w:val="nil"/>
              <w:bottom w:val="single" w:sz="4" w:space="0" w:color="auto"/>
              <w:right w:val="single" w:sz="4" w:space="0" w:color="auto"/>
            </w:tcBorders>
            <w:shd w:val="clear" w:color="auto" w:fill="auto"/>
            <w:noWrap/>
            <w:vAlign w:val="bottom"/>
            <w:hideMark/>
          </w:tcPr>
          <w:p w14:paraId="7D35378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647</w:t>
            </w:r>
          </w:p>
        </w:tc>
        <w:tc>
          <w:tcPr>
            <w:tcW w:w="1032" w:type="dxa"/>
            <w:tcBorders>
              <w:top w:val="nil"/>
              <w:left w:val="nil"/>
              <w:bottom w:val="single" w:sz="4" w:space="0" w:color="auto"/>
              <w:right w:val="single" w:sz="4" w:space="0" w:color="auto"/>
            </w:tcBorders>
            <w:shd w:val="clear" w:color="auto" w:fill="auto"/>
            <w:noWrap/>
            <w:vAlign w:val="bottom"/>
            <w:hideMark/>
          </w:tcPr>
          <w:p w14:paraId="7DA0728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0,87%</w:t>
            </w:r>
          </w:p>
        </w:tc>
      </w:tr>
      <w:tr w:rsidR="00DC6AAD" w:rsidRPr="006B6796" w14:paraId="5A796253"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3817A166"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7D9795ED"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3B5F971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146</w:t>
            </w:r>
          </w:p>
        </w:tc>
        <w:tc>
          <w:tcPr>
            <w:tcW w:w="947" w:type="dxa"/>
            <w:tcBorders>
              <w:top w:val="nil"/>
              <w:left w:val="nil"/>
              <w:bottom w:val="single" w:sz="4" w:space="0" w:color="auto"/>
              <w:right w:val="single" w:sz="4" w:space="0" w:color="auto"/>
            </w:tcBorders>
            <w:shd w:val="clear" w:color="auto" w:fill="auto"/>
            <w:noWrap/>
            <w:vAlign w:val="bottom"/>
            <w:hideMark/>
          </w:tcPr>
          <w:p w14:paraId="5D33254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33</w:t>
            </w:r>
          </w:p>
        </w:tc>
        <w:tc>
          <w:tcPr>
            <w:tcW w:w="952" w:type="dxa"/>
            <w:tcBorders>
              <w:top w:val="nil"/>
              <w:left w:val="nil"/>
              <w:bottom w:val="single" w:sz="4" w:space="0" w:color="auto"/>
              <w:right w:val="single" w:sz="4" w:space="0" w:color="auto"/>
            </w:tcBorders>
            <w:shd w:val="clear" w:color="auto" w:fill="auto"/>
            <w:noWrap/>
            <w:vAlign w:val="bottom"/>
            <w:hideMark/>
          </w:tcPr>
          <w:p w14:paraId="0E2A77F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w:t>
            </w:r>
          </w:p>
        </w:tc>
        <w:tc>
          <w:tcPr>
            <w:tcW w:w="950" w:type="dxa"/>
            <w:tcBorders>
              <w:top w:val="nil"/>
              <w:left w:val="nil"/>
              <w:bottom w:val="single" w:sz="4" w:space="0" w:color="auto"/>
              <w:right w:val="single" w:sz="4" w:space="0" w:color="auto"/>
            </w:tcBorders>
            <w:shd w:val="clear" w:color="auto" w:fill="auto"/>
            <w:noWrap/>
            <w:vAlign w:val="bottom"/>
            <w:hideMark/>
          </w:tcPr>
          <w:p w14:paraId="0E49817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465</w:t>
            </w:r>
          </w:p>
        </w:tc>
        <w:tc>
          <w:tcPr>
            <w:tcW w:w="1128" w:type="dxa"/>
            <w:tcBorders>
              <w:top w:val="nil"/>
              <w:left w:val="nil"/>
              <w:bottom w:val="single" w:sz="4" w:space="0" w:color="auto"/>
              <w:right w:val="single" w:sz="4" w:space="0" w:color="auto"/>
            </w:tcBorders>
            <w:shd w:val="clear" w:color="auto" w:fill="auto"/>
            <w:noWrap/>
            <w:vAlign w:val="bottom"/>
            <w:hideMark/>
          </w:tcPr>
          <w:p w14:paraId="34F8B5A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654</w:t>
            </w:r>
          </w:p>
        </w:tc>
        <w:tc>
          <w:tcPr>
            <w:tcW w:w="1032" w:type="dxa"/>
            <w:tcBorders>
              <w:top w:val="nil"/>
              <w:left w:val="nil"/>
              <w:bottom w:val="single" w:sz="4" w:space="0" w:color="auto"/>
              <w:right w:val="single" w:sz="4" w:space="0" w:color="auto"/>
            </w:tcBorders>
            <w:shd w:val="clear" w:color="auto" w:fill="auto"/>
            <w:noWrap/>
            <w:vAlign w:val="bottom"/>
            <w:hideMark/>
          </w:tcPr>
          <w:p w14:paraId="445DB86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0,87%</w:t>
            </w:r>
          </w:p>
        </w:tc>
      </w:tr>
      <w:tr w:rsidR="00DC6AAD" w:rsidRPr="006B6796" w14:paraId="34791641"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7DBDE87C"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798CD12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2A41E6E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133</w:t>
            </w:r>
          </w:p>
        </w:tc>
        <w:tc>
          <w:tcPr>
            <w:tcW w:w="947" w:type="dxa"/>
            <w:tcBorders>
              <w:top w:val="nil"/>
              <w:left w:val="nil"/>
              <w:bottom w:val="single" w:sz="4" w:space="0" w:color="auto"/>
              <w:right w:val="single" w:sz="4" w:space="0" w:color="auto"/>
            </w:tcBorders>
            <w:shd w:val="clear" w:color="auto" w:fill="auto"/>
            <w:noWrap/>
            <w:vAlign w:val="bottom"/>
            <w:hideMark/>
          </w:tcPr>
          <w:p w14:paraId="3D43AB8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34</w:t>
            </w:r>
          </w:p>
        </w:tc>
        <w:tc>
          <w:tcPr>
            <w:tcW w:w="952" w:type="dxa"/>
            <w:tcBorders>
              <w:top w:val="nil"/>
              <w:left w:val="nil"/>
              <w:bottom w:val="single" w:sz="4" w:space="0" w:color="auto"/>
              <w:right w:val="single" w:sz="4" w:space="0" w:color="auto"/>
            </w:tcBorders>
            <w:shd w:val="clear" w:color="auto" w:fill="auto"/>
            <w:noWrap/>
            <w:vAlign w:val="bottom"/>
            <w:hideMark/>
          </w:tcPr>
          <w:p w14:paraId="6818D0D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w:t>
            </w:r>
          </w:p>
        </w:tc>
        <w:tc>
          <w:tcPr>
            <w:tcW w:w="950" w:type="dxa"/>
            <w:tcBorders>
              <w:top w:val="nil"/>
              <w:left w:val="nil"/>
              <w:bottom w:val="single" w:sz="4" w:space="0" w:color="auto"/>
              <w:right w:val="single" w:sz="4" w:space="0" w:color="auto"/>
            </w:tcBorders>
            <w:shd w:val="clear" w:color="auto" w:fill="auto"/>
            <w:noWrap/>
            <w:vAlign w:val="bottom"/>
            <w:hideMark/>
          </w:tcPr>
          <w:p w14:paraId="1B1147D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476</w:t>
            </w:r>
          </w:p>
        </w:tc>
        <w:tc>
          <w:tcPr>
            <w:tcW w:w="1128" w:type="dxa"/>
            <w:tcBorders>
              <w:top w:val="nil"/>
              <w:left w:val="nil"/>
              <w:bottom w:val="single" w:sz="4" w:space="0" w:color="auto"/>
              <w:right w:val="single" w:sz="4" w:space="0" w:color="auto"/>
            </w:tcBorders>
            <w:shd w:val="clear" w:color="auto" w:fill="auto"/>
            <w:noWrap/>
            <w:vAlign w:val="bottom"/>
            <w:hideMark/>
          </w:tcPr>
          <w:p w14:paraId="00FDB44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652</w:t>
            </w:r>
          </w:p>
        </w:tc>
        <w:tc>
          <w:tcPr>
            <w:tcW w:w="1032" w:type="dxa"/>
            <w:tcBorders>
              <w:top w:val="nil"/>
              <w:left w:val="nil"/>
              <w:bottom w:val="single" w:sz="4" w:space="0" w:color="auto"/>
              <w:right w:val="single" w:sz="4" w:space="0" w:color="auto"/>
            </w:tcBorders>
            <w:shd w:val="clear" w:color="auto" w:fill="auto"/>
            <w:noWrap/>
            <w:vAlign w:val="bottom"/>
            <w:hideMark/>
          </w:tcPr>
          <w:p w14:paraId="1FF927D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0,86%</w:t>
            </w:r>
          </w:p>
        </w:tc>
      </w:tr>
      <w:tr w:rsidR="00DC6AAD" w:rsidRPr="006B6796" w14:paraId="6FF6489E" w14:textId="77777777" w:rsidTr="00683004">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245789BA"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4D4B790D"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636FCD10"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135</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531ABF2B"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43</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4424C517"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8</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51A9CF7B"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497</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7A899080"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683</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0A797125"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0,89%</w:t>
            </w:r>
          </w:p>
        </w:tc>
      </w:tr>
      <w:tr w:rsidR="00DC6AAD" w:rsidRPr="006B6796" w14:paraId="0FC6FAB9" w14:textId="77777777" w:rsidTr="00744E87">
        <w:trPr>
          <w:trHeight w:val="495"/>
        </w:trPr>
        <w:tc>
          <w:tcPr>
            <w:tcW w:w="2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CCDBB"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Srednjobosanski</w:t>
            </w:r>
          </w:p>
        </w:tc>
        <w:tc>
          <w:tcPr>
            <w:tcW w:w="960" w:type="dxa"/>
            <w:tcBorders>
              <w:top w:val="nil"/>
              <w:left w:val="nil"/>
              <w:bottom w:val="single" w:sz="4" w:space="0" w:color="auto"/>
              <w:right w:val="single" w:sz="4" w:space="0" w:color="auto"/>
            </w:tcBorders>
            <w:shd w:val="clear" w:color="auto" w:fill="auto"/>
            <w:noWrap/>
            <w:vAlign w:val="bottom"/>
            <w:hideMark/>
          </w:tcPr>
          <w:p w14:paraId="5B7D745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76E5460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1.375</w:t>
            </w:r>
          </w:p>
        </w:tc>
        <w:tc>
          <w:tcPr>
            <w:tcW w:w="947" w:type="dxa"/>
            <w:tcBorders>
              <w:top w:val="nil"/>
              <w:left w:val="nil"/>
              <w:bottom w:val="single" w:sz="4" w:space="0" w:color="auto"/>
              <w:right w:val="single" w:sz="4" w:space="0" w:color="auto"/>
            </w:tcBorders>
            <w:shd w:val="clear" w:color="auto" w:fill="auto"/>
            <w:noWrap/>
            <w:vAlign w:val="bottom"/>
            <w:hideMark/>
          </w:tcPr>
          <w:p w14:paraId="54BBA61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310</w:t>
            </w:r>
          </w:p>
        </w:tc>
        <w:tc>
          <w:tcPr>
            <w:tcW w:w="952" w:type="dxa"/>
            <w:tcBorders>
              <w:top w:val="nil"/>
              <w:left w:val="nil"/>
              <w:bottom w:val="single" w:sz="4" w:space="0" w:color="auto"/>
              <w:right w:val="single" w:sz="4" w:space="0" w:color="auto"/>
            </w:tcBorders>
            <w:shd w:val="clear" w:color="auto" w:fill="auto"/>
            <w:noWrap/>
            <w:vAlign w:val="bottom"/>
            <w:hideMark/>
          </w:tcPr>
          <w:p w14:paraId="3DDFF22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95</w:t>
            </w:r>
          </w:p>
        </w:tc>
        <w:tc>
          <w:tcPr>
            <w:tcW w:w="950" w:type="dxa"/>
            <w:tcBorders>
              <w:top w:val="nil"/>
              <w:left w:val="nil"/>
              <w:bottom w:val="single" w:sz="4" w:space="0" w:color="auto"/>
              <w:right w:val="single" w:sz="4" w:space="0" w:color="auto"/>
            </w:tcBorders>
            <w:shd w:val="clear" w:color="auto" w:fill="auto"/>
            <w:noWrap/>
            <w:vAlign w:val="bottom"/>
            <w:hideMark/>
          </w:tcPr>
          <w:p w14:paraId="5359EA0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5.177</w:t>
            </w:r>
          </w:p>
        </w:tc>
        <w:tc>
          <w:tcPr>
            <w:tcW w:w="1128" w:type="dxa"/>
            <w:tcBorders>
              <w:top w:val="nil"/>
              <w:left w:val="nil"/>
              <w:bottom w:val="single" w:sz="4" w:space="0" w:color="auto"/>
              <w:right w:val="single" w:sz="4" w:space="0" w:color="auto"/>
            </w:tcBorders>
            <w:shd w:val="clear" w:color="auto" w:fill="auto"/>
            <w:noWrap/>
            <w:vAlign w:val="bottom"/>
            <w:hideMark/>
          </w:tcPr>
          <w:p w14:paraId="3B7323C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6.957</w:t>
            </w:r>
          </w:p>
        </w:tc>
        <w:tc>
          <w:tcPr>
            <w:tcW w:w="1032" w:type="dxa"/>
            <w:tcBorders>
              <w:top w:val="nil"/>
              <w:left w:val="nil"/>
              <w:bottom w:val="single" w:sz="4" w:space="0" w:color="auto"/>
              <w:right w:val="single" w:sz="4" w:space="0" w:color="auto"/>
            </w:tcBorders>
            <w:shd w:val="clear" w:color="auto" w:fill="auto"/>
            <w:noWrap/>
            <w:vAlign w:val="bottom"/>
            <w:hideMark/>
          </w:tcPr>
          <w:p w14:paraId="4B301CA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9,38%</w:t>
            </w:r>
          </w:p>
        </w:tc>
      </w:tr>
      <w:tr w:rsidR="00DC6AAD" w:rsidRPr="006B6796" w14:paraId="35C04B27"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5F8D4174"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4914EC76"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42C0453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1.336</w:t>
            </w:r>
          </w:p>
        </w:tc>
        <w:tc>
          <w:tcPr>
            <w:tcW w:w="947" w:type="dxa"/>
            <w:tcBorders>
              <w:top w:val="nil"/>
              <w:left w:val="nil"/>
              <w:bottom w:val="single" w:sz="4" w:space="0" w:color="auto"/>
              <w:right w:val="single" w:sz="4" w:space="0" w:color="auto"/>
            </w:tcBorders>
            <w:shd w:val="clear" w:color="auto" w:fill="auto"/>
            <w:noWrap/>
            <w:vAlign w:val="bottom"/>
            <w:hideMark/>
          </w:tcPr>
          <w:p w14:paraId="652CC48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318</w:t>
            </w:r>
          </w:p>
        </w:tc>
        <w:tc>
          <w:tcPr>
            <w:tcW w:w="952" w:type="dxa"/>
            <w:tcBorders>
              <w:top w:val="nil"/>
              <w:left w:val="nil"/>
              <w:bottom w:val="single" w:sz="4" w:space="0" w:color="auto"/>
              <w:right w:val="single" w:sz="4" w:space="0" w:color="auto"/>
            </w:tcBorders>
            <w:shd w:val="clear" w:color="auto" w:fill="auto"/>
            <w:noWrap/>
            <w:vAlign w:val="bottom"/>
            <w:hideMark/>
          </w:tcPr>
          <w:p w14:paraId="017C053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97</w:t>
            </w:r>
          </w:p>
        </w:tc>
        <w:tc>
          <w:tcPr>
            <w:tcW w:w="950" w:type="dxa"/>
            <w:tcBorders>
              <w:top w:val="nil"/>
              <w:left w:val="nil"/>
              <w:bottom w:val="single" w:sz="4" w:space="0" w:color="auto"/>
              <w:right w:val="single" w:sz="4" w:space="0" w:color="auto"/>
            </w:tcBorders>
            <w:shd w:val="clear" w:color="auto" w:fill="auto"/>
            <w:noWrap/>
            <w:vAlign w:val="bottom"/>
            <w:hideMark/>
          </w:tcPr>
          <w:p w14:paraId="0DE12C8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5.294</w:t>
            </w:r>
          </w:p>
        </w:tc>
        <w:tc>
          <w:tcPr>
            <w:tcW w:w="1128" w:type="dxa"/>
            <w:tcBorders>
              <w:top w:val="nil"/>
              <w:left w:val="nil"/>
              <w:bottom w:val="single" w:sz="4" w:space="0" w:color="auto"/>
              <w:right w:val="single" w:sz="4" w:space="0" w:color="auto"/>
            </w:tcBorders>
            <w:shd w:val="clear" w:color="auto" w:fill="auto"/>
            <w:noWrap/>
            <w:vAlign w:val="bottom"/>
            <w:hideMark/>
          </w:tcPr>
          <w:p w14:paraId="12771D0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7.045</w:t>
            </w:r>
          </w:p>
        </w:tc>
        <w:tc>
          <w:tcPr>
            <w:tcW w:w="1032" w:type="dxa"/>
            <w:tcBorders>
              <w:top w:val="nil"/>
              <w:left w:val="nil"/>
              <w:bottom w:val="single" w:sz="4" w:space="0" w:color="auto"/>
              <w:right w:val="single" w:sz="4" w:space="0" w:color="auto"/>
            </w:tcBorders>
            <w:shd w:val="clear" w:color="auto" w:fill="auto"/>
            <w:noWrap/>
            <w:vAlign w:val="bottom"/>
            <w:hideMark/>
          </w:tcPr>
          <w:p w14:paraId="7EA25C6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9,37%</w:t>
            </w:r>
          </w:p>
        </w:tc>
      </w:tr>
      <w:tr w:rsidR="00DC6AAD" w:rsidRPr="006B6796" w14:paraId="30F8D5DC"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2D0FE3F9"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55A981E6"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62E9487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1.323</w:t>
            </w:r>
          </w:p>
        </w:tc>
        <w:tc>
          <w:tcPr>
            <w:tcW w:w="947" w:type="dxa"/>
            <w:tcBorders>
              <w:top w:val="nil"/>
              <w:left w:val="nil"/>
              <w:bottom w:val="single" w:sz="4" w:space="0" w:color="auto"/>
              <w:right w:val="single" w:sz="4" w:space="0" w:color="auto"/>
            </w:tcBorders>
            <w:shd w:val="clear" w:color="auto" w:fill="auto"/>
            <w:noWrap/>
            <w:vAlign w:val="bottom"/>
            <w:hideMark/>
          </w:tcPr>
          <w:p w14:paraId="2A8DFD5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313</w:t>
            </w:r>
          </w:p>
        </w:tc>
        <w:tc>
          <w:tcPr>
            <w:tcW w:w="952" w:type="dxa"/>
            <w:tcBorders>
              <w:top w:val="nil"/>
              <w:left w:val="nil"/>
              <w:bottom w:val="single" w:sz="4" w:space="0" w:color="auto"/>
              <w:right w:val="single" w:sz="4" w:space="0" w:color="auto"/>
            </w:tcBorders>
            <w:shd w:val="clear" w:color="auto" w:fill="auto"/>
            <w:noWrap/>
            <w:vAlign w:val="bottom"/>
            <w:hideMark/>
          </w:tcPr>
          <w:p w14:paraId="243D7D2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102</w:t>
            </w:r>
          </w:p>
        </w:tc>
        <w:tc>
          <w:tcPr>
            <w:tcW w:w="950" w:type="dxa"/>
            <w:tcBorders>
              <w:top w:val="nil"/>
              <w:left w:val="nil"/>
              <w:bottom w:val="single" w:sz="4" w:space="0" w:color="auto"/>
              <w:right w:val="single" w:sz="4" w:space="0" w:color="auto"/>
            </w:tcBorders>
            <w:shd w:val="clear" w:color="auto" w:fill="auto"/>
            <w:noWrap/>
            <w:vAlign w:val="bottom"/>
            <w:hideMark/>
          </w:tcPr>
          <w:p w14:paraId="65F6122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5.467</w:t>
            </w:r>
          </w:p>
        </w:tc>
        <w:tc>
          <w:tcPr>
            <w:tcW w:w="1128" w:type="dxa"/>
            <w:tcBorders>
              <w:top w:val="nil"/>
              <w:left w:val="nil"/>
              <w:bottom w:val="single" w:sz="4" w:space="0" w:color="auto"/>
              <w:right w:val="single" w:sz="4" w:space="0" w:color="auto"/>
            </w:tcBorders>
            <w:shd w:val="clear" w:color="auto" w:fill="auto"/>
            <w:noWrap/>
            <w:vAlign w:val="bottom"/>
            <w:hideMark/>
          </w:tcPr>
          <w:p w14:paraId="2C22969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7.205</w:t>
            </w:r>
          </w:p>
        </w:tc>
        <w:tc>
          <w:tcPr>
            <w:tcW w:w="1032" w:type="dxa"/>
            <w:tcBorders>
              <w:top w:val="nil"/>
              <w:left w:val="nil"/>
              <w:bottom w:val="single" w:sz="4" w:space="0" w:color="auto"/>
              <w:right w:val="single" w:sz="4" w:space="0" w:color="auto"/>
            </w:tcBorders>
            <w:shd w:val="clear" w:color="auto" w:fill="auto"/>
            <w:noWrap/>
            <w:vAlign w:val="bottom"/>
            <w:hideMark/>
          </w:tcPr>
          <w:p w14:paraId="45F707F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9,54%</w:t>
            </w:r>
          </w:p>
        </w:tc>
      </w:tr>
      <w:tr w:rsidR="00DC6AAD" w:rsidRPr="006B6796" w14:paraId="5F46007B" w14:textId="77777777" w:rsidTr="00683004">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553137EE"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5C3B8B96"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7366E96F"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1.321</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4E162F66"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298</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4425416F"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96</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644C0FF2"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5.534</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550CA1D6"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7.249</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60A9704C"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9,45%</w:t>
            </w:r>
          </w:p>
        </w:tc>
      </w:tr>
      <w:tr w:rsidR="00DC6AAD" w:rsidRPr="006B6796" w14:paraId="31856E95" w14:textId="77777777" w:rsidTr="00744E87">
        <w:trPr>
          <w:trHeight w:val="315"/>
        </w:trPr>
        <w:tc>
          <w:tcPr>
            <w:tcW w:w="2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8D459A"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Hercegovačko - neretvanski</w:t>
            </w:r>
          </w:p>
        </w:tc>
        <w:tc>
          <w:tcPr>
            <w:tcW w:w="960" w:type="dxa"/>
            <w:tcBorders>
              <w:top w:val="nil"/>
              <w:left w:val="nil"/>
              <w:bottom w:val="single" w:sz="4" w:space="0" w:color="auto"/>
              <w:right w:val="single" w:sz="4" w:space="0" w:color="auto"/>
            </w:tcBorders>
            <w:shd w:val="clear" w:color="auto" w:fill="auto"/>
            <w:noWrap/>
            <w:vAlign w:val="bottom"/>
            <w:hideMark/>
          </w:tcPr>
          <w:p w14:paraId="15B3F366"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338D4A5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2.086</w:t>
            </w:r>
          </w:p>
        </w:tc>
        <w:tc>
          <w:tcPr>
            <w:tcW w:w="947" w:type="dxa"/>
            <w:tcBorders>
              <w:top w:val="nil"/>
              <w:left w:val="nil"/>
              <w:bottom w:val="single" w:sz="4" w:space="0" w:color="auto"/>
              <w:right w:val="single" w:sz="4" w:space="0" w:color="auto"/>
            </w:tcBorders>
            <w:shd w:val="clear" w:color="auto" w:fill="auto"/>
            <w:noWrap/>
            <w:vAlign w:val="bottom"/>
            <w:hideMark/>
          </w:tcPr>
          <w:p w14:paraId="4E6A1E4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410</w:t>
            </w:r>
          </w:p>
        </w:tc>
        <w:tc>
          <w:tcPr>
            <w:tcW w:w="952" w:type="dxa"/>
            <w:tcBorders>
              <w:top w:val="nil"/>
              <w:left w:val="nil"/>
              <w:bottom w:val="single" w:sz="4" w:space="0" w:color="auto"/>
              <w:right w:val="single" w:sz="4" w:space="0" w:color="auto"/>
            </w:tcBorders>
            <w:shd w:val="clear" w:color="auto" w:fill="auto"/>
            <w:noWrap/>
            <w:vAlign w:val="bottom"/>
            <w:hideMark/>
          </w:tcPr>
          <w:p w14:paraId="58199EB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87</w:t>
            </w:r>
          </w:p>
        </w:tc>
        <w:tc>
          <w:tcPr>
            <w:tcW w:w="950" w:type="dxa"/>
            <w:tcBorders>
              <w:top w:val="nil"/>
              <w:left w:val="nil"/>
              <w:bottom w:val="single" w:sz="4" w:space="0" w:color="auto"/>
              <w:right w:val="single" w:sz="4" w:space="0" w:color="auto"/>
            </w:tcBorders>
            <w:shd w:val="clear" w:color="auto" w:fill="auto"/>
            <w:noWrap/>
            <w:vAlign w:val="bottom"/>
            <w:hideMark/>
          </w:tcPr>
          <w:p w14:paraId="69EA4FB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6.909</w:t>
            </w:r>
          </w:p>
        </w:tc>
        <w:tc>
          <w:tcPr>
            <w:tcW w:w="1128" w:type="dxa"/>
            <w:tcBorders>
              <w:top w:val="nil"/>
              <w:left w:val="nil"/>
              <w:bottom w:val="single" w:sz="4" w:space="0" w:color="auto"/>
              <w:right w:val="single" w:sz="4" w:space="0" w:color="auto"/>
            </w:tcBorders>
            <w:shd w:val="clear" w:color="auto" w:fill="auto"/>
            <w:noWrap/>
            <w:vAlign w:val="bottom"/>
            <w:hideMark/>
          </w:tcPr>
          <w:p w14:paraId="5D00B74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9.492</w:t>
            </w:r>
          </w:p>
        </w:tc>
        <w:tc>
          <w:tcPr>
            <w:tcW w:w="1032" w:type="dxa"/>
            <w:tcBorders>
              <w:top w:val="nil"/>
              <w:left w:val="nil"/>
              <w:bottom w:val="single" w:sz="4" w:space="0" w:color="auto"/>
              <w:right w:val="single" w:sz="4" w:space="0" w:color="auto"/>
            </w:tcBorders>
            <w:shd w:val="clear" w:color="auto" w:fill="auto"/>
            <w:noWrap/>
            <w:vAlign w:val="bottom"/>
            <w:hideMark/>
          </w:tcPr>
          <w:p w14:paraId="7F85226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12,79%</w:t>
            </w:r>
          </w:p>
        </w:tc>
      </w:tr>
      <w:tr w:rsidR="00DC6AAD" w:rsidRPr="006B6796" w14:paraId="640DD0B1"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66F02790"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262AAC8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4E2ABD5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2.113</w:t>
            </w:r>
          </w:p>
        </w:tc>
        <w:tc>
          <w:tcPr>
            <w:tcW w:w="947" w:type="dxa"/>
            <w:tcBorders>
              <w:top w:val="nil"/>
              <w:left w:val="nil"/>
              <w:bottom w:val="single" w:sz="4" w:space="0" w:color="auto"/>
              <w:right w:val="single" w:sz="4" w:space="0" w:color="auto"/>
            </w:tcBorders>
            <w:shd w:val="clear" w:color="auto" w:fill="auto"/>
            <w:noWrap/>
            <w:vAlign w:val="bottom"/>
            <w:hideMark/>
          </w:tcPr>
          <w:p w14:paraId="58AEB92D"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438</w:t>
            </w:r>
          </w:p>
        </w:tc>
        <w:tc>
          <w:tcPr>
            <w:tcW w:w="952" w:type="dxa"/>
            <w:tcBorders>
              <w:top w:val="nil"/>
              <w:left w:val="nil"/>
              <w:bottom w:val="single" w:sz="4" w:space="0" w:color="auto"/>
              <w:right w:val="single" w:sz="4" w:space="0" w:color="auto"/>
            </w:tcBorders>
            <w:shd w:val="clear" w:color="auto" w:fill="auto"/>
            <w:noWrap/>
            <w:vAlign w:val="bottom"/>
            <w:hideMark/>
          </w:tcPr>
          <w:p w14:paraId="4202D5E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85</w:t>
            </w:r>
          </w:p>
        </w:tc>
        <w:tc>
          <w:tcPr>
            <w:tcW w:w="950" w:type="dxa"/>
            <w:tcBorders>
              <w:top w:val="nil"/>
              <w:left w:val="nil"/>
              <w:bottom w:val="single" w:sz="4" w:space="0" w:color="auto"/>
              <w:right w:val="single" w:sz="4" w:space="0" w:color="auto"/>
            </w:tcBorders>
            <w:shd w:val="clear" w:color="auto" w:fill="auto"/>
            <w:noWrap/>
            <w:vAlign w:val="bottom"/>
            <w:hideMark/>
          </w:tcPr>
          <w:p w14:paraId="01D3ED1D"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6.933</w:t>
            </w:r>
          </w:p>
        </w:tc>
        <w:tc>
          <w:tcPr>
            <w:tcW w:w="1128" w:type="dxa"/>
            <w:tcBorders>
              <w:top w:val="nil"/>
              <w:left w:val="nil"/>
              <w:bottom w:val="single" w:sz="4" w:space="0" w:color="auto"/>
              <w:right w:val="single" w:sz="4" w:space="0" w:color="auto"/>
            </w:tcBorders>
            <w:shd w:val="clear" w:color="auto" w:fill="auto"/>
            <w:noWrap/>
            <w:vAlign w:val="bottom"/>
            <w:hideMark/>
          </w:tcPr>
          <w:p w14:paraId="3A3C12E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9.569</w:t>
            </w:r>
          </w:p>
        </w:tc>
        <w:tc>
          <w:tcPr>
            <w:tcW w:w="1032" w:type="dxa"/>
            <w:tcBorders>
              <w:top w:val="nil"/>
              <w:left w:val="nil"/>
              <w:bottom w:val="single" w:sz="4" w:space="0" w:color="auto"/>
              <w:right w:val="single" w:sz="4" w:space="0" w:color="auto"/>
            </w:tcBorders>
            <w:shd w:val="clear" w:color="auto" w:fill="auto"/>
            <w:noWrap/>
            <w:vAlign w:val="bottom"/>
            <w:hideMark/>
          </w:tcPr>
          <w:p w14:paraId="2DAD151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12,73%</w:t>
            </w:r>
          </w:p>
        </w:tc>
      </w:tr>
      <w:tr w:rsidR="00DC6AAD" w:rsidRPr="006B6796" w14:paraId="0F8AC10E"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010BF3E4"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4298204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611B5BA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2.167</w:t>
            </w:r>
          </w:p>
        </w:tc>
        <w:tc>
          <w:tcPr>
            <w:tcW w:w="947" w:type="dxa"/>
            <w:tcBorders>
              <w:top w:val="nil"/>
              <w:left w:val="nil"/>
              <w:bottom w:val="single" w:sz="4" w:space="0" w:color="auto"/>
              <w:right w:val="single" w:sz="4" w:space="0" w:color="auto"/>
            </w:tcBorders>
            <w:shd w:val="clear" w:color="auto" w:fill="auto"/>
            <w:noWrap/>
            <w:vAlign w:val="bottom"/>
            <w:hideMark/>
          </w:tcPr>
          <w:p w14:paraId="7198C1E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418</w:t>
            </w:r>
          </w:p>
        </w:tc>
        <w:tc>
          <w:tcPr>
            <w:tcW w:w="952" w:type="dxa"/>
            <w:tcBorders>
              <w:top w:val="nil"/>
              <w:left w:val="nil"/>
              <w:bottom w:val="single" w:sz="4" w:space="0" w:color="auto"/>
              <w:right w:val="single" w:sz="4" w:space="0" w:color="auto"/>
            </w:tcBorders>
            <w:shd w:val="clear" w:color="auto" w:fill="auto"/>
            <w:noWrap/>
            <w:vAlign w:val="bottom"/>
            <w:hideMark/>
          </w:tcPr>
          <w:p w14:paraId="0C53B4C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81</w:t>
            </w:r>
          </w:p>
        </w:tc>
        <w:tc>
          <w:tcPr>
            <w:tcW w:w="950" w:type="dxa"/>
            <w:tcBorders>
              <w:top w:val="nil"/>
              <w:left w:val="nil"/>
              <w:bottom w:val="single" w:sz="4" w:space="0" w:color="auto"/>
              <w:right w:val="single" w:sz="4" w:space="0" w:color="auto"/>
            </w:tcBorders>
            <w:shd w:val="clear" w:color="auto" w:fill="auto"/>
            <w:noWrap/>
            <w:vAlign w:val="bottom"/>
            <w:hideMark/>
          </w:tcPr>
          <w:p w14:paraId="024A111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6.739</w:t>
            </w:r>
          </w:p>
        </w:tc>
        <w:tc>
          <w:tcPr>
            <w:tcW w:w="1128" w:type="dxa"/>
            <w:tcBorders>
              <w:top w:val="nil"/>
              <w:left w:val="nil"/>
              <w:bottom w:val="single" w:sz="4" w:space="0" w:color="auto"/>
              <w:right w:val="single" w:sz="4" w:space="0" w:color="auto"/>
            </w:tcBorders>
            <w:shd w:val="clear" w:color="auto" w:fill="auto"/>
            <w:noWrap/>
            <w:vAlign w:val="bottom"/>
            <w:hideMark/>
          </w:tcPr>
          <w:p w14:paraId="6E7DF23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9.405</w:t>
            </w:r>
          </w:p>
        </w:tc>
        <w:tc>
          <w:tcPr>
            <w:tcW w:w="1032" w:type="dxa"/>
            <w:tcBorders>
              <w:top w:val="nil"/>
              <w:left w:val="nil"/>
              <w:bottom w:val="single" w:sz="4" w:space="0" w:color="auto"/>
              <w:right w:val="single" w:sz="4" w:space="0" w:color="auto"/>
            </w:tcBorders>
            <w:shd w:val="clear" w:color="auto" w:fill="auto"/>
            <w:noWrap/>
            <w:vAlign w:val="bottom"/>
            <w:hideMark/>
          </w:tcPr>
          <w:p w14:paraId="70C34DC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12,46%</w:t>
            </w:r>
          </w:p>
        </w:tc>
      </w:tr>
      <w:tr w:rsidR="00DC6AAD" w:rsidRPr="006B6796" w14:paraId="6A21B4EC" w14:textId="77777777" w:rsidTr="00683004">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591CE4C4"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44811343"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26CCC5F0"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2.182</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18D23E70"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410</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54B215A5"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76</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4EF5354E"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6.769</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300ACD6D"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9.437</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29778B24"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12,30%</w:t>
            </w:r>
          </w:p>
        </w:tc>
      </w:tr>
      <w:tr w:rsidR="00DC6AAD" w:rsidRPr="006B6796" w14:paraId="2D455FC8" w14:textId="77777777" w:rsidTr="00744E87">
        <w:trPr>
          <w:trHeight w:val="315"/>
        </w:trPr>
        <w:tc>
          <w:tcPr>
            <w:tcW w:w="2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6C190"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Zapadnohercegovački</w:t>
            </w:r>
          </w:p>
        </w:tc>
        <w:tc>
          <w:tcPr>
            <w:tcW w:w="960" w:type="dxa"/>
            <w:tcBorders>
              <w:top w:val="nil"/>
              <w:left w:val="nil"/>
              <w:bottom w:val="single" w:sz="4" w:space="0" w:color="auto"/>
              <w:right w:val="single" w:sz="4" w:space="0" w:color="auto"/>
            </w:tcBorders>
            <w:shd w:val="clear" w:color="auto" w:fill="auto"/>
            <w:noWrap/>
            <w:vAlign w:val="bottom"/>
            <w:hideMark/>
          </w:tcPr>
          <w:p w14:paraId="2BDC868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4620F0D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957</w:t>
            </w:r>
          </w:p>
        </w:tc>
        <w:tc>
          <w:tcPr>
            <w:tcW w:w="947" w:type="dxa"/>
            <w:tcBorders>
              <w:top w:val="nil"/>
              <w:left w:val="nil"/>
              <w:bottom w:val="single" w:sz="4" w:space="0" w:color="auto"/>
              <w:right w:val="single" w:sz="4" w:space="0" w:color="auto"/>
            </w:tcBorders>
            <w:shd w:val="clear" w:color="auto" w:fill="auto"/>
            <w:noWrap/>
            <w:vAlign w:val="bottom"/>
            <w:hideMark/>
          </w:tcPr>
          <w:p w14:paraId="78C4F44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191</w:t>
            </w:r>
          </w:p>
        </w:tc>
        <w:tc>
          <w:tcPr>
            <w:tcW w:w="952" w:type="dxa"/>
            <w:tcBorders>
              <w:top w:val="nil"/>
              <w:left w:val="nil"/>
              <w:bottom w:val="single" w:sz="4" w:space="0" w:color="auto"/>
              <w:right w:val="single" w:sz="4" w:space="0" w:color="auto"/>
            </w:tcBorders>
            <w:shd w:val="clear" w:color="auto" w:fill="auto"/>
            <w:noWrap/>
            <w:vAlign w:val="bottom"/>
            <w:hideMark/>
          </w:tcPr>
          <w:p w14:paraId="36DBFEC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52</w:t>
            </w:r>
          </w:p>
        </w:tc>
        <w:tc>
          <w:tcPr>
            <w:tcW w:w="950" w:type="dxa"/>
            <w:tcBorders>
              <w:top w:val="nil"/>
              <w:left w:val="nil"/>
              <w:bottom w:val="single" w:sz="4" w:space="0" w:color="auto"/>
              <w:right w:val="single" w:sz="4" w:space="0" w:color="auto"/>
            </w:tcBorders>
            <w:shd w:val="clear" w:color="auto" w:fill="auto"/>
            <w:noWrap/>
            <w:vAlign w:val="bottom"/>
            <w:hideMark/>
          </w:tcPr>
          <w:p w14:paraId="30CA71D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2.005</w:t>
            </w:r>
          </w:p>
        </w:tc>
        <w:tc>
          <w:tcPr>
            <w:tcW w:w="1128" w:type="dxa"/>
            <w:tcBorders>
              <w:top w:val="nil"/>
              <w:left w:val="nil"/>
              <w:bottom w:val="single" w:sz="4" w:space="0" w:color="auto"/>
              <w:right w:val="single" w:sz="4" w:space="0" w:color="auto"/>
            </w:tcBorders>
            <w:shd w:val="clear" w:color="auto" w:fill="auto"/>
            <w:noWrap/>
            <w:vAlign w:val="bottom"/>
            <w:hideMark/>
          </w:tcPr>
          <w:p w14:paraId="617CF7A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3.205</w:t>
            </w:r>
          </w:p>
        </w:tc>
        <w:tc>
          <w:tcPr>
            <w:tcW w:w="1032" w:type="dxa"/>
            <w:tcBorders>
              <w:top w:val="nil"/>
              <w:left w:val="nil"/>
              <w:bottom w:val="single" w:sz="4" w:space="0" w:color="auto"/>
              <w:right w:val="single" w:sz="4" w:space="0" w:color="auto"/>
            </w:tcBorders>
            <w:shd w:val="clear" w:color="auto" w:fill="auto"/>
            <w:noWrap/>
            <w:vAlign w:val="bottom"/>
            <w:hideMark/>
          </w:tcPr>
          <w:p w14:paraId="1235994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4,32%</w:t>
            </w:r>
          </w:p>
        </w:tc>
      </w:tr>
      <w:tr w:rsidR="00DC6AAD" w:rsidRPr="006B6796" w14:paraId="1914B7C6"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59783739"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73EB6F0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2A1054C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954</w:t>
            </w:r>
          </w:p>
        </w:tc>
        <w:tc>
          <w:tcPr>
            <w:tcW w:w="947" w:type="dxa"/>
            <w:tcBorders>
              <w:top w:val="nil"/>
              <w:left w:val="nil"/>
              <w:bottom w:val="single" w:sz="4" w:space="0" w:color="auto"/>
              <w:right w:val="single" w:sz="4" w:space="0" w:color="auto"/>
            </w:tcBorders>
            <w:shd w:val="clear" w:color="auto" w:fill="auto"/>
            <w:noWrap/>
            <w:vAlign w:val="bottom"/>
            <w:hideMark/>
          </w:tcPr>
          <w:p w14:paraId="4F908D3D"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196</w:t>
            </w:r>
          </w:p>
        </w:tc>
        <w:tc>
          <w:tcPr>
            <w:tcW w:w="952" w:type="dxa"/>
            <w:tcBorders>
              <w:top w:val="nil"/>
              <w:left w:val="nil"/>
              <w:bottom w:val="single" w:sz="4" w:space="0" w:color="auto"/>
              <w:right w:val="single" w:sz="4" w:space="0" w:color="auto"/>
            </w:tcBorders>
            <w:shd w:val="clear" w:color="auto" w:fill="auto"/>
            <w:noWrap/>
            <w:vAlign w:val="bottom"/>
            <w:hideMark/>
          </w:tcPr>
          <w:p w14:paraId="7787332D"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54</w:t>
            </w:r>
          </w:p>
        </w:tc>
        <w:tc>
          <w:tcPr>
            <w:tcW w:w="950" w:type="dxa"/>
            <w:tcBorders>
              <w:top w:val="nil"/>
              <w:left w:val="nil"/>
              <w:bottom w:val="single" w:sz="4" w:space="0" w:color="auto"/>
              <w:right w:val="single" w:sz="4" w:space="0" w:color="auto"/>
            </w:tcBorders>
            <w:shd w:val="clear" w:color="auto" w:fill="auto"/>
            <w:noWrap/>
            <w:vAlign w:val="bottom"/>
            <w:hideMark/>
          </w:tcPr>
          <w:p w14:paraId="18C3334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2.137</w:t>
            </w:r>
          </w:p>
        </w:tc>
        <w:tc>
          <w:tcPr>
            <w:tcW w:w="1128" w:type="dxa"/>
            <w:tcBorders>
              <w:top w:val="nil"/>
              <w:left w:val="nil"/>
              <w:bottom w:val="single" w:sz="4" w:space="0" w:color="auto"/>
              <w:right w:val="single" w:sz="4" w:space="0" w:color="auto"/>
            </w:tcBorders>
            <w:shd w:val="clear" w:color="auto" w:fill="auto"/>
            <w:noWrap/>
            <w:vAlign w:val="bottom"/>
            <w:hideMark/>
          </w:tcPr>
          <w:p w14:paraId="1392A38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3.341</w:t>
            </w:r>
          </w:p>
        </w:tc>
        <w:tc>
          <w:tcPr>
            <w:tcW w:w="1032" w:type="dxa"/>
            <w:tcBorders>
              <w:top w:val="nil"/>
              <w:left w:val="nil"/>
              <w:bottom w:val="single" w:sz="4" w:space="0" w:color="auto"/>
              <w:right w:val="single" w:sz="4" w:space="0" w:color="auto"/>
            </w:tcBorders>
            <w:shd w:val="clear" w:color="auto" w:fill="auto"/>
            <w:noWrap/>
            <w:vAlign w:val="bottom"/>
            <w:hideMark/>
          </w:tcPr>
          <w:p w14:paraId="7B98342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4,45%</w:t>
            </w:r>
          </w:p>
        </w:tc>
      </w:tr>
      <w:tr w:rsidR="00DC6AAD" w:rsidRPr="006B6796" w14:paraId="4B65EF96"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4ADADC0E"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4938D69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248DEA2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967</w:t>
            </w:r>
          </w:p>
        </w:tc>
        <w:tc>
          <w:tcPr>
            <w:tcW w:w="947" w:type="dxa"/>
            <w:tcBorders>
              <w:top w:val="nil"/>
              <w:left w:val="nil"/>
              <w:bottom w:val="single" w:sz="4" w:space="0" w:color="auto"/>
              <w:right w:val="single" w:sz="4" w:space="0" w:color="auto"/>
            </w:tcBorders>
            <w:shd w:val="clear" w:color="auto" w:fill="auto"/>
            <w:noWrap/>
            <w:vAlign w:val="bottom"/>
            <w:hideMark/>
          </w:tcPr>
          <w:p w14:paraId="735BA41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186</w:t>
            </w:r>
          </w:p>
        </w:tc>
        <w:tc>
          <w:tcPr>
            <w:tcW w:w="952" w:type="dxa"/>
            <w:tcBorders>
              <w:top w:val="nil"/>
              <w:left w:val="nil"/>
              <w:bottom w:val="single" w:sz="4" w:space="0" w:color="auto"/>
              <w:right w:val="single" w:sz="4" w:space="0" w:color="auto"/>
            </w:tcBorders>
            <w:shd w:val="clear" w:color="auto" w:fill="auto"/>
            <w:noWrap/>
            <w:vAlign w:val="bottom"/>
            <w:hideMark/>
          </w:tcPr>
          <w:p w14:paraId="1DB2F7B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51</w:t>
            </w:r>
          </w:p>
        </w:tc>
        <w:tc>
          <w:tcPr>
            <w:tcW w:w="950" w:type="dxa"/>
            <w:tcBorders>
              <w:top w:val="nil"/>
              <w:left w:val="nil"/>
              <w:bottom w:val="single" w:sz="4" w:space="0" w:color="auto"/>
              <w:right w:val="single" w:sz="4" w:space="0" w:color="auto"/>
            </w:tcBorders>
            <w:shd w:val="clear" w:color="auto" w:fill="auto"/>
            <w:noWrap/>
            <w:vAlign w:val="bottom"/>
            <w:hideMark/>
          </w:tcPr>
          <w:p w14:paraId="75D6474D"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2.228</w:t>
            </w:r>
          </w:p>
        </w:tc>
        <w:tc>
          <w:tcPr>
            <w:tcW w:w="1128" w:type="dxa"/>
            <w:tcBorders>
              <w:top w:val="nil"/>
              <w:left w:val="nil"/>
              <w:bottom w:val="single" w:sz="4" w:space="0" w:color="auto"/>
              <w:right w:val="single" w:sz="4" w:space="0" w:color="auto"/>
            </w:tcBorders>
            <w:shd w:val="clear" w:color="auto" w:fill="auto"/>
            <w:noWrap/>
            <w:vAlign w:val="bottom"/>
            <w:hideMark/>
          </w:tcPr>
          <w:p w14:paraId="387A3FA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3.432</w:t>
            </w:r>
          </w:p>
        </w:tc>
        <w:tc>
          <w:tcPr>
            <w:tcW w:w="1032" w:type="dxa"/>
            <w:tcBorders>
              <w:top w:val="nil"/>
              <w:left w:val="nil"/>
              <w:bottom w:val="single" w:sz="4" w:space="0" w:color="auto"/>
              <w:right w:val="single" w:sz="4" w:space="0" w:color="auto"/>
            </w:tcBorders>
            <w:shd w:val="clear" w:color="auto" w:fill="auto"/>
            <w:noWrap/>
            <w:vAlign w:val="bottom"/>
            <w:hideMark/>
          </w:tcPr>
          <w:p w14:paraId="44E9762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4,55%</w:t>
            </w:r>
          </w:p>
        </w:tc>
      </w:tr>
      <w:tr w:rsidR="00DC6AAD" w:rsidRPr="006B6796" w14:paraId="6B7302B4" w14:textId="77777777" w:rsidTr="00683004">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20A5234A"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7A478088"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241AD985"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1.047</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35177D63"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179</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61321009"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50</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589E17A3"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2.207</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43FDB769"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3.483</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7771FFE6"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4,54%</w:t>
            </w:r>
          </w:p>
        </w:tc>
      </w:tr>
      <w:tr w:rsidR="00DC6AAD" w:rsidRPr="006B6796" w14:paraId="6C3F690E" w14:textId="77777777" w:rsidTr="00744E87">
        <w:trPr>
          <w:trHeight w:val="315"/>
        </w:trPr>
        <w:tc>
          <w:tcPr>
            <w:tcW w:w="2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B9FD0"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Kanton Sarajevo</w:t>
            </w:r>
          </w:p>
        </w:tc>
        <w:tc>
          <w:tcPr>
            <w:tcW w:w="960" w:type="dxa"/>
            <w:tcBorders>
              <w:top w:val="nil"/>
              <w:left w:val="nil"/>
              <w:bottom w:val="single" w:sz="4" w:space="0" w:color="auto"/>
              <w:right w:val="single" w:sz="4" w:space="0" w:color="auto"/>
            </w:tcBorders>
            <w:shd w:val="clear" w:color="auto" w:fill="auto"/>
            <w:noWrap/>
            <w:vAlign w:val="bottom"/>
            <w:hideMark/>
          </w:tcPr>
          <w:p w14:paraId="286EC21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3C1973F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6.276</w:t>
            </w:r>
          </w:p>
        </w:tc>
        <w:tc>
          <w:tcPr>
            <w:tcW w:w="947" w:type="dxa"/>
            <w:tcBorders>
              <w:top w:val="nil"/>
              <w:left w:val="nil"/>
              <w:bottom w:val="single" w:sz="4" w:space="0" w:color="auto"/>
              <w:right w:val="single" w:sz="4" w:space="0" w:color="auto"/>
            </w:tcBorders>
            <w:shd w:val="clear" w:color="auto" w:fill="auto"/>
            <w:noWrap/>
            <w:vAlign w:val="bottom"/>
            <w:hideMark/>
          </w:tcPr>
          <w:p w14:paraId="378231E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1.089</w:t>
            </w:r>
          </w:p>
        </w:tc>
        <w:tc>
          <w:tcPr>
            <w:tcW w:w="952" w:type="dxa"/>
            <w:tcBorders>
              <w:top w:val="nil"/>
              <w:left w:val="nil"/>
              <w:bottom w:val="single" w:sz="4" w:space="0" w:color="auto"/>
              <w:right w:val="single" w:sz="4" w:space="0" w:color="auto"/>
            </w:tcBorders>
            <w:shd w:val="clear" w:color="auto" w:fill="auto"/>
            <w:noWrap/>
            <w:vAlign w:val="bottom"/>
            <w:hideMark/>
          </w:tcPr>
          <w:p w14:paraId="18C24C9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248</w:t>
            </w:r>
          </w:p>
        </w:tc>
        <w:tc>
          <w:tcPr>
            <w:tcW w:w="950" w:type="dxa"/>
            <w:tcBorders>
              <w:top w:val="nil"/>
              <w:left w:val="nil"/>
              <w:bottom w:val="single" w:sz="4" w:space="0" w:color="auto"/>
              <w:right w:val="single" w:sz="4" w:space="0" w:color="auto"/>
            </w:tcBorders>
            <w:shd w:val="clear" w:color="auto" w:fill="auto"/>
            <w:noWrap/>
            <w:vAlign w:val="bottom"/>
            <w:hideMark/>
          </w:tcPr>
          <w:p w14:paraId="7100B0C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11.817</w:t>
            </w:r>
          </w:p>
        </w:tc>
        <w:tc>
          <w:tcPr>
            <w:tcW w:w="1128" w:type="dxa"/>
            <w:tcBorders>
              <w:top w:val="nil"/>
              <w:left w:val="nil"/>
              <w:bottom w:val="single" w:sz="4" w:space="0" w:color="auto"/>
              <w:right w:val="single" w:sz="4" w:space="0" w:color="auto"/>
            </w:tcBorders>
            <w:shd w:val="clear" w:color="auto" w:fill="auto"/>
            <w:noWrap/>
            <w:vAlign w:val="bottom"/>
            <w:hideMark/>
          </w:tcPr>
          <w:p w14:paraId="428B2C3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19.430</w:t>
            </w:r>
          </w:p>
        </w:tc>
        <w:tc>
          <w:tcPr>
            <w:tcW w:w="1032" w:type="dxa"/>
            <w:tcBorders>
              <w:top w:val="nil"/>
              <w:left w:val="nil"/>
              <w:bottom w:val="single" w:sz="4" w:space="0" w:color="auto"/>
              <w:right w:val="single" w:sz="4" w:space="0" w:color="auto"/>
            </w:tcBorders>
            <w:shd w:val="clear" w:color="auto" w:fill="auto"/>
            <w:noWrap/>
            <w:vAlign w:val="bottom"/>
            <w:hideMark/>
          </w:tcPr>
          <w:p w14:paraId="702C3D7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26,19%</w:t>
            </w:r>
          </w:p>
        </w:tc>
      </w:tr>
      <w:tr w:rsidR="00DC6AAD" w:rsidRPr="006B6796" w14:paraId="25CCF3CC"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57AE221D"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4E5F9F4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456D6FF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6.336</w:t>
            </w:r>
          </w:p>
        </w:tc>
        <w:tc>
          <w:tcPr>
            <w:tcW w:w="947" w:type="dxa"/>
            <w:tcBorders>
              <w:top w:val="nil"/>
              <w:left w:val="nil"/>
              <w:bottom w:val="single" w:sz="4" w:space="0" w:color="auto"/>
              <w:right w:val="single" w:sz="4" w:space="0" w:color="auto"/>
            </w:tcBorders>
            <w:shd w:val="clear" w:color="auto" w:fill="auto"/>
            <w:noWrap/>
            <w:vAlign w:val="bottom"/>
            <w:hideMark/>
          </w:tcPr>
          <w:p w14:paraId="126CE0B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1.116</w:t>
            </w:r>
          </w:p>
        </w:tc>
        <w:tc>
          <w:tcPr>
            <w:tcW w:w="952" w:type="dxa"/>
            <w:tcBorders>
              <w:top w:val="nil"/>
              <w:left w:val="nil"/>
              <w:bottom w:val="single" w:sz="4" w:space="0" w:color="auto"/>
              <w:right w:val="single" w:sz="4" w:space="0" w:color="auto"/>
            </w:tcBorders>
            <w:shd w:val="clear" w:color="auto" w:fill="auto"/>
            <w:noWrap/>
            <w:vAlign w:val="bottom"/>
            <w:hideMark/>
          </w:tcPr>
          <w:p w14:paraId="75F4EC9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259</w:t>
            </w:r>
          </w:p>
        </w:tc>
        <w:tc>
          <w:tcPr>
            <w:tcW w:w="950" w:type="dxa"/>
            <w:tcBorders>
              <w:top w:val="nil"/>
              <w:left w:val="nil"/>
              <w:bottom w:val="single" w:sz="4" w:space="0" w:color="auto"/>
              <w:right w:val="single" w:sz="4" w:space="0" w:color="auto"/>
            </w:tcBorders>
            <w:shd w:val="clear" w:color="auto" w:fill="auto"/>
            <w:noWrap/>
            <w:vAlign w:val="bottom"/>
            <w:hideMark/>
          </w:tcPr>
          <w:p w14:paraId="50248A0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12.141</w:t>
            </w:r>
          </w:p>
        </w:tc>
        <w:tc>
          <w:tcPr>
            <w:tcW w:w="1128" w:type="dxa"/>
            <w:tcBorders>
              <w:top w:val="nil"/>
              <w:left w:val="nil"/>
              <w:bottom w:val="single" w:sz="4" w:space="0" w:color="auto"/>
              <w:right w:val="single" w:sz="4" w:space="0" w:color="auto"/>
            </w:tcBorders>
            <w:shd w:val="clear" w:color="auto" w:fill="auto"/>
            <w:noWrap/>
            <w:vAlign w:val="bottom"/>
            <w:hideMark/>
          </w:tcPr>
          <w:p w14:paraId="24D1466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19.852</w:t>
            </w:r>
          </w:p>
        </w:tc>
        <w:tc>
          <w:tcPr>
            <w:tcW w:w="1032" w:type="dxa"/>
            <w:tcBorders>
              <w:top w:val="nil"/>
              <w:left w:val="nil"/>
              <w:bottom w:val="single" w:sz="4" w:space="0" w:color="auto"/>
              <w:right w:val="single" w:sz="4" w:space="0" w:color="auto"/>
            </w:tcBorders>
            <w:shd w:val="clear" w:color="auto" w:fill="auto"/>
            <w:noWrap/>
            <w:vAlign w:val="bottom"/>
            <w:hideMark/>
          </w:tcPr>
          <w:p w14:paraId="0B85C46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26,41%</w:t>
            </w:r>
          </w:p>
        </w:tc>
      </w:tr>
      <w:tr w:rsidR="00DC6AAD" w:rsidRPr="006B6796" w14:paraId="2AF64601" w14:textId="77777777" w:rsidTr="00744E87">
        <w:trPr>
          <w:trHeight w:val="495"/>
        </w:trPr>
        <w:tc>
          <w:tcPr>
            <w:tcW w:w="2322" w:type="dxa"/>
            <w:vMerge/>
            <w:tcBorders>
              <w:top w:val="nil"/>
              <w:left w:val="single" w:sz="4" w:space="0" w:color="auto"/>
              <w:bottom w:val="single" w:sz="4" w:space="0" w:color="000000"/>
              <w:right w:val="single" w:sz="4" w:space="0" w:color="auto"/>
            </w:tcBorders>
            <w:vAlign w:val="center"/>
            <w:hideMark/>
          </w:tcPr>
          <w:p w14:paraId="42B1920E"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313CFEB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0C04DEA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6.330</w:t>
            </w:r>
          </w:p>
        </w:tc>
        <w:tc>
          <w:tcPr>
            <w:tcW w:w="947" w:type="dxa"/>
            <w:tcBorders>
              <w:top w:val="nil"/>
              <w:left w:val="nil"/>
              <w:bottom w:val="single" w:sz="4" w:space="0" w:color="auto"/>
              <w:right w:val="single" w:sz="4" w:space="0" w:color="auto"/>
            </w:tcBorders>
            <w:shd w:val="clear" w:color="auto" w:fill="auto"/>
            <w:noWrap/>
            <w:vAlign w:val="bottom"/>
            <w:hideMark/>
          </w:tcPr>
          <w:p w14:paraId="31DF095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1.032</w:t>
            </w:r>
          </w:p>
        </w:tc>
        <w:tc>
          <w:tcPr>
            <w:tcW w:w="952" w:type="dxa"/>
            <w:tcBorders>
              <w:top w:val="nil"/>
              <w:left w:val="nil"/>
              <w:bottom w:val="single" w:sz="4" w:space="0" w:color="auto"/>
              <w:right w:val="single" w:sz="4" w:space="0" w:color="auto"/>
            </w:tcBorders>
            <w:shd w:val="clear" w:color="auto" w:fill="auto"/>
            <w:noWrap/>
            <w:vAlign w:val="bottom"/>
            <w:hideMark/>
          </w:tcPr>
          <w:p w14:paraId="5475D91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246</w:t>
            </w:r>
          </w:p>
        </w:tc>
        <w:tc>
          <w:tcPr>
            <w:tcW w:w="950" w:type="dxa"/>
            <w:tcBorders>
              <w:top w:val="nil"/>
              <w:left w:val="nil"/>
              <w:bottom w:val="single" w:sz="4" w:space="0" w:color="auto"/>
              <w:right w:val="single" w:sz="4" w:space="0" w:color="auto"/>
            </w:tcBorders>
            <w:shd w:val="clear" w:color="auto" w:fill="auto"/>
            <w:noWrap/>
            <w:vAlign w:val="bottom"/>
            <w:hideMark/>
          </w:tcPr>
          <w:p w14:paraId="4816580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12.387</w:t>
            </w:r>
          </w:p>
        </w:tc>
        <w:tc>
          <w:tcPr>
            <w:tcW w:w="1128" w:type="dxa"/>
            <w:tcBorders>
              <w:top w:val="nil"/>
              <w:left w:val="nil"/>
              <w:bottom w:val="single" w:sz="4" w:space="0" w:color="auto"/>
              <w:right w:val="single" w:sz="4" w:space="0" w:color="auto"/>
            </w:tcBorders>
            <w:shd w:val="clear" w:color="auto" w:fill="auto"/>
            <w:noWrap/>
            <w:vAlign w:val="bottom"/>
            <w:hideMark/>
          </w:tcPr>
          <w:p w14:paraId="1C3C6E2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19.995</w:t>
            </w:r>
          </w:p>
        </w:tc>
        <w:tc>
          <w:tcPr>
            <w:tcW w:w="1032" w:type="dxa"/>
            <w:tcBorders>
              <w:top w:val="nil"/>
              <w:left w:val="nil"/>
              <w:bottom w:val="single" w:sz="4" w:space="0" w:color="auto"/>
              <w:right w:val="single" w:sz="4" w:space="0" w:color="auto"/>
            </w:tcBorders>
            <w:shd w:val="clear" w:color="auto" w:fill="auto"/>
            <w:noWrap/>
            <w:vAlign w:val="bottom"/>
            <w:hideMark/>
          </w:tcPr>
          <w:p w14:paraId="555B4F1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26,48%</w:t>
            </w:r>
          </w:p>
        </w:tc>
      </w:tr>
      <w:tr w:rsidR="00DC6AAD" w:rsidRPr="006B6796" w14:paraId="14C5846F" w14:textId="77777777" w:rsidTr="00683004">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44E8589F"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209CB7D0"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37445731"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6.731</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53D1C838"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1.045</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31FAE8E2"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238</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01C4E618"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12.825</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79BBDED6"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20.839</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3760B9D2"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27,16%</w:t>
            </w:r>
          </w:p>
        </w:tc>
      </w:tr>
      <w:tr w:rsidR="00DC6AAD" w:rsidRPr="006B6796" w14:paraId="538A29BC" w14:textId="77777777" w:rsidTr="00744E87">
        <w:trPr>
          <w:trHeight w:val="315"/>
        </w:trPr>
        <w:tc>
          <w:tcPr>
            <w:tcW w:w="2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65350"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K10</w:t>
            </w:r>
          </w:p>
        </w:tc>
        <w:tc>
          <w:tcPr>
            <w:tcW w:w="960" w:type="dxa"/>
            <w:tcBorders>
              <w:top w:val="nil"/>
              <w:left w:val="nil"/>
              <w:bottom w:val="single" w:sz="4" w:space="0" w:color="auto"/>
              <w:right w:val="single" w:sz="4" w:space="0" w:color="auto"/>
            </w:tcBorders>
            <w:shd w:val="clear" w:color="auto" w:fill="auto"/>
            <w:noWrap/>
            <w:vAlign w:val="bottom"/>
            <w:hideMark/>
          </w:tcPr>
          <w:p w14:paraId="6E671EB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05126006"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537</w:t>
            </w:r>
          </w:p>
        </w:tc>
        <w:tc>
          <w:tcPr>
            <w:tcW w:w="947" w:type="dxa"/>
            <w:tcBorders>
              <w:top w:val="nil"/>
              <w:left w:val="nil"/>
              <w:bottom w:val="single" w:sz="4" w:space="0" w:color="auto"/>
              <w:right w:val="single" w:sz="4" w:space="0" w:color="auto"/>
            </w:tcBorders>
            <w:shd w:val="clear" w:color="auto" w:fill="auto"/>
            <w:noWrap/>
            <w:vAlign w:val="bottom"/>
            <w:hideMark/>
          </w:tcPr>
          <w:p w14:paraId="2CFA7E4D"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105</w:t>
            </w:r>
          </w:p>
        </w:tc>
        <w:tc>
          <w:tcPr>
            <w:tcW w:w="952" w:type="dxa"/>
            <w:tcBorders>
              <w:top w:val="nil"/>
              <w:left w:val="nil"/>
              <w:bottom w:val="single" w:sz="4" w:space="0" w:color="auto"/>
              <w:right w:val="single" w:sz="4" w:space="0" w:color="auto"/>
            </w:tcBorders>
            <w:shd w:val="clear" w:color="auto" w:fill="auto"/>
            <w:noWrap/>
            <w:vAlign w:val="bottom"/>
            <w:hideMark/>
          </w:tcPr>
          <w:p w14:paraId="20CC2BB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17</w:t>
            </w:r>
          </w:p>
        </w:tc>
        <w:tc>
          <w:tcPr>
            <w:tcW w:w="950" w:type="dxa"/>
            <w:tcBorders>
              <w:top w:val="nil"/>
              <w:left w:val="nil"/>
              <w:bottom w:val="single" w:sz="4" w:space="0" w:color="auto"/>
              <w:right w:val="single" w:sz="4" w:space="0" w:color="auto"/>
            </w:tcBorders>
            <w:shd w:val="clear" w:color="auto" w:fill="auto"/>
            <w:noWrap/>
            <w:vAlign w:val="bottom"/>
            <w:hideMark/>
          </w:tcPr>
          <w:p w14:paraId="53B4BF0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1.334</w:t>
            </w:r>
          </w:p>
        </w:tc>
        <w:tc>
          <w:tcPr>
            <w:tcW w:w="1128" w:type="dxa"/>
            <w:tcBorders>
              <w:top w:val="nil"/>
              <w:left w:val="nil"/>
              <w:bottom w:val="single" w:sz="4" w:space="0" w:color="auto"/>
              <w:right w:val="single" w:sz="4" w:space="0" w:color="auto"/>
            </w:tcBorders>
            <w:shd w:val="clear" w:color="auto" w:fill="auto"/>
            <w:noWrap/>
            <w:vAlign w:val="bottom"/>
            <w:hideMark/>
          </w:tcPr>
          <w:p w14:paraId="5810487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1.993</w:t>
            </w:r>
          </w:p>
        </w:tc>
        <w:tc>
          <w:tcPr>
            <w:tcW w:w="1032" w:type="dxa"/>
            <w:tcBorders>
              <w:top w:val="nil"/>
              <w:left w:val="nil"/>
              <w:bottom w:val="single" w:sz="4" w:space="0" w:color="auto"/>
              <w:right w:val="single" w:sz="4" w:space="0" w:color="auto"/>
            </w:tcBorders>
            <w:shd w:val="clear" w:color="auto" w:fill="auto"/>
            <w:noWrap/>
            <w:vAlign w:val="bottom"/>
            <w:hideMark/>
          </w:tcPr>
          <w:p w14:paraId="03B861B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2,69%</w:t>
            </w:r>
          </w:p>
        </w:tc>
      </w:tr>
      <w:tr w:rsidR="00DC6AAD" w:rsidRPr="006B6796" w14:paraId="15A4F01E"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766FF33A"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3FD2E16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181EAEB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526</w:t>
            </w:r>
          </w:p>
        </w:tc>
        <w:tc>
          <w:tcPr>
            <w:tcW w:w="947" w:type="dxa"/>
            <w:tcBorders>
              <w:top w:val="nil"/>
              <w:left w:val="nil"/>
              <w:bottom w:val="single" w:sz="4" w:space="0" w:color="auto"/>
              <w:right w:val="single" w:sz="4" w:space="0" w:color="auto"/>
            </w:tcBorders>
            <w:shd w:val="clear" w:color="auto" w:fill="auto"/>
            <w:noWrap/>
            <w:vAlign w:val="bottom"/>
            <w:hideMark/>
          </w:tcPr>
          <w:p w14:paraId="6C20C0E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106</w:t>
            </w:r>
          </w:p>
        </w:tc>
        <w:tc>
          <w:tcPr>
            <w:tcW w:w="952" w:type="dxa"/>
            <w:tcBorders>
              <w:top w:val="nil"/>
              <w:left w:val="nil"/>
              <w:bottom w:val="single" w:sz="4" w:space="0" w:color="auto"/>
              <w:right w:val="single" w:sz="4" w:space="0" w:color="auto"/>
            </w:tcBorders>
            <w:shd w:val="clear" w:color="auto" w:fill="auto"/>
            <w:noWrap/>
            <w:vAlign w:val="bottom"/>
            <w:hideMark/>
          </w:tcPr>
          <w:p w14:paraId="3F960AE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17</w:t>
            </w:r>
          </w:p>
        </w:tc>
        <w:tc>
          <w:tcPr>
            <w:tcW w:w="950" w:type="dxa"/>
            <w:tcBorders>
              <w:top w:val="nil"/>
              <w:left w:val="nil"/>
              <w:bottom w:val="single" w:sz="4" w:space="0" w:color="auto"/>
              <w:right w:val="single" w:sz="4" w:space="0" w:color="auto"/>
            </w:tcBorders>
            <w:shd w:val="clear" w:color="auto" w:fill="auto"/>
            <w:noWrap/>
            <w:vAlign w:val="bottom"/>
            <w:hideMark/>
          </w:tcPr>
          <w:p w14:paraId="7A2D32C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1.374</w:t>
            </w:r>
          </w:p>
        </w:tc>
        <w:tc>
          <w:tcPr>
            <w:tcW w:w="1128" w:type="dxa"/>
            <w:tcBorders>
              <w:top w:val="nil"/>
              <w:left w:val="nil"/>
              <w:bottom w:val="single" w:sz="4" w:space="0" w:color="auto"/>
              <w:right w:val="single" w:sz="4" w:space="0" w:color="auto"/>
            </w:tcBorders>
            <w:shd w:val="clear" w:color="auto" w:fill="auto"/>
            <w:noWrap/>
            <w:vAlign w:val="bottom"/>
            <w:hideMark/>
          </w:tcPr>
          <w:p w14:paraId="33020DF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2.023</w:t>
            </w:r>
          </w:p>
        </w:tc>
        <w:tc>
          <w:tcPr>
            <w:tcW w:w="1032" w:type="dxa"/>
            <w:tcBorders>
              <w:top w:val="nil"/>
              <w:left w:val="nil"/>
              <w:bottom w:val="single" w:sz="4" w:space="0" w:color="auto"/>
              <w:right w:val="single" w:sz="4" w:space="0" w:color="auto"/>
            </w:tcBorders>
            <w:shd w:val="clear" w:color="auto" w:fill="auto"/>
            <w:noWrap/>
            <w:vAlign w:val="bottom"/>
            <w:hideMark/>
          </w:tcPr>
          <w:p w14:paraId="70DE27A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2,69%</w:t>
            </w:r>
          </w:p>
        </w:tc>
      </w:tr>
      <w:tr w:rsidR="00DC6AAD" w:rsidRPr="006B6796" w14:paraId="3B945D89" w14:textId="77777777" w:rsidTr="00744E87">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739C6179"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5154501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2A91B3B6"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529</w:t>
            </w:r>
          </w:p>
        </w:tc>
        <w:tc>
          <w:tcPr>
            <w:tcW w:w="947" w:type="dxa"/>
            <w:tcBorders>
              <w:top w:val="nil"/>
              <w:left w:val="nil"/>
              <w:bottom w:val="single" w:sz="4" w:space="0" w:color="auto"/>
              <w:right w:val="single" w:sz="4" w:space="0" w:color="auto"/>
            </w:tcBorders>
            <w:shd w:val="clear" w:color="auto" w:fill="auto"/>
            <w:noWrap/>
            <w:vAlign w:val="bottom"/>
            <w:hideMark/>
          </w:tcPr>
          <w:p w14:paraId="32A824C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93</w:t>
            </w:r>
          </w:p>
        </w:tc>
        <w:tc>
          <w:tcPr>
            <w:tcW w:w="952" w:type="dxa"/>
            <w:tcBorders>
              <w:top w:val="nil"/>
              <w:left w:val="nil"/>
              <w:bottom w:val="single" w:sz="4" w:space="0" w:color="auto"/>
              <w:right w:val="single" w:sz="4" w:space="0" w:color="auto"/>
            </w:tcBorders>
            <w:shd w:val="clear" w:color="auto" w:fill="auto"/>
            <w:noWrap/>
            <w:vAlign w:val="bottom"/>
            <w:hideMark/>
          </w:tcPr>
          <w:p w14:paraId="7797FA6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18</w:t>
            </w:r>
          </w:p>
        </w:tc>
        <w:tc>
          <w:tcPr>
            <w:tcW w:w="950" w:type="dxa"/>
            <w:tcBorders>
              <w:top w:val="nil"/>
              <w:left w:val="nil"/>
              <w:bottom w:val="single" w:sz="4" w:space="0" w:color="auto"/>
              <w:right w:val="single" w:sz="4" w:space="0" w:color="auto"/>
            </w:tcBorders>
            <w:shd w:val="clear" w:color="auto" w:fill="auto"/>
            <w:noWrap/>
            <w:vAlign w:val="bottom"/>
            <w:hideMark/>
          </w:tcPr>
          <w:p w14:paraId="1C6F056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1.375</w:t>
            </w:r>
          </w:p>
        </w:tc>
        <w:tc>
          <w:tcPr>
            <w:tcW w:w="1128" w:type="dxa"/>
            <w:tcBorders>
              <w:top w:val="nil"/>
              <w:left w:val="nil"/>
              <w:bottom w:val="single" w:sz="4" w:space="0" w:color="auto"/>
              <w:right w:val="single" w:sz="4" w:space="0" w:color="auto"/>
            </w:tcBorders>
            <w:shd w:val="clear" w:color="auto" w:fill="auto"/>
            <w:noWrap/>
            <w:vAlign w:val="bottom"/>
            <w:hideMark/>
          </w:tcPr>
          <w:p w14:paraId="6A2F508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2.015</w:t>
            </w:r>
          </w:p>
        </w:tc>
        <w:tc>
          <w:tcPr>
            <w:tcW w:w="1032" w:type="dxa"/>
            <w:tcBorders>
              <w:top w:val="nil"/>
              <w:left w:val="nil"/>
              <w:bottom w:val="single" w:sz="4" w:space="0" w:color="auto"/>
              <w:right w:val="single" w:sz="4" w:space="0" w:color="auto"/>
            </w:tcBorders>
            <w:shd w:val="clear" w:color="auto" w:fill="auto"/>
            <w:noWrap/>
            <w:vAlign w:val="bottom"/>
            <w:hideMark/>
          </w:tcPr>
          <w:p w14:paraId="34304A0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2,67%</w:t>
            </w:r>
          </w:p>
        </w:tc>
      </w:tr>
      <w:tr w:rsidR="00DC6AAD" w:rsidRPr="006B6796" w14:paraId="16211E69" w14:textId="77777777" w:rsidTr="00683004">
        <w:trPr>
          <w:trHeight w:val="315"/>
        </w:trPr>
        <w:tc>
          <w:tcPr>
            <w:tcW w:w="2322" w:type="dxa"/>
            <w:vMerge/>
            <w:tcBorders>
              <w:top w:val="nil"/>
              <w:left w:val="single" w:sz="4" w:space="0" w:color="auto"/>
              <w:bottom w:val="single" w:sz="4" w:space="0" w:color="000000"/>
              <w:right w:val="single" w:sz="4" w:space="0" w:color="auto"/>
            </w:tcBorders>
            <w:vAlign w:val="center"/>
            <w:hideMark/>
          </w:tcPr>
          <w:p w14:paraId="45D521B1"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1C7A63BC"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1E50F45F"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541</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22BBA885"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90</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143CBF26"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15</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797DDD8F"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1.363</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6CA99F19"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2.009</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42496E81"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2,62%</w:t>
            </w:r>
          </w:p>
        </w:tc>
      </w:tr>
      <w:tr w:rsidR="00DC6AAD" w:rsidRPr="006B6796" w14:paraId="14B508B6" w14:textId="77777777" w:rsidTr="00683004">
        <w:trPr>
          <w:trHeight w:val="315"/>
        </w:trPr>
        <w:tc>
          <w:tcPr>
            <w:tcW w:w="2322" w:type="dxa"/>
            <w:vMerge w:val="restart"/>
            <w:tcBorders>
              <w:top w:val="nil"/>
              <w:left w:val="single" w:sz="4" w:space="0" w:color="auto"/>
              <w:bottom w:val="single" w:sz="4" w:space="0" w:color="000000"/>
              <w:right w:val="single" w:sz="4" w:space="0" w:color="auto"/>
            </w:tcBorders>
            <w:shd w:val="clear" w:color="auto" w:fill="BCD9DE" w:themeFill="accent5" w:themeFillTint="66"/>
            <w:noWrap/>
            <w:vAlign w:val="center"/>
            <w:hideMark/>
          </w:tcPr>
          <w:p w14:paraId="0F9869EE"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Federacija BiH</w:t>
            </w:r>
          </w:p>
        </w:tc>
        <w:tc>
          <w:tcPr>
            <w:tcW w:w="960" w:type="dxa"/>
            <w:tcBorders>
              <w:top w:val="nil"/>
              <w:left w:val="nil"/>
              <w:bottom w:val="single" w:sz="4" w:space="0" w:color="auto"/>
              <w:right w:val="single" w:sz="4" w:space="0" w:color="auto"/>
            </w:tcBorders>
            <w:shd w:val="clear" w:color="auto" w:fill="auto"/>
            <w:noWrap/>
            <w:vAlign w:val="bottom"/>
            <w:hideMark/>
          </w:tcPr>
          <w:p w14:paraId="6524836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2018</w:t>
            </w:r>
          </w:p>
        </w:tc>
        <w:tc>
          <w:tcPr>
            <w:tcW w:w="949" w:type="dxa"/>
            <w:tcBorders>
              <w:top w:val="nil"/>
              <w:left w:val="nil"/>
              <w:bottom w:val="single" w:sz="4" w:space="0" w:color="auto"/>
              <w:right w:val="single" w:sz="4" w:space="0" w:color="auto"/>
            </w:tcBorders>
            <w:shd w:val="clear" w:color="auto" w:fill="auto"/>
            <w:noWrap/>
            <w:vAlign w:val="bottom"/>
            <w:hideMark/>
          </w:tcPr>
          <w:p w14:paraId="44D14215"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18.188</w:t>
            </w:r>
          </w:p>
        </w:tc>
        <w:tc>
          <w:tcPr>
            <w:tcW w:w="947" w:type="dxa"/>
            <w:tcBorders>
              <w:top w:val="nil"/>
              <w:left w:val="nil"/>
              <w:bottom w:val="single" w:sz="4" w:space="0" w:color="auto"/>
              <w:right w:val="single" w:sz="4" w:space="0" w:color="auto"/>
            </w:tcBorders>
            <w:shd w:val="clear" w:color="auto" w:fill="auto"/>
            <w:noWrap/>
            <w:vAlign w:val="bottom"/>
            <w:hideMark/>
          </w:tcPr>
          <w:p w14:paraId="2AE106A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3.745</w:t>
            </w:r>
          </w:p>
        </w:tc>
        <w:tc>
          <w:tcPr>
            <w:tcW w:w="952" w:type="dxa"/>
            <w:tcBorders>
              <w:top w:val="nil"/>
              <w:left w:val="nil"/>
              <w:bottom w:val="single" w:sz="4" w:space="0" w:color="auto"/>
              <w:right w:val="single" w:sz="4" w:space="0" w:color="auto"/>
            </w:tcBorders>
            <w:shd w:val="clear" w:color="auto" w:fill="auto"/>
            <w:noWrap/>
            <w:vAlign w:val="bottom"/>
            <w:hideMark/>
          </w:tcPr>
          <w:p w14:paraId="15C92B8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918</w:t>
            </w:r>
          </w:p>
        </w:tc>
        <w:tc>
          <w:tcPr>
            <w:tcW w:w="950" w:type="dxa"/>
            <w:tcBorders>
              <w:top w:val="nil"/>
              <w:left w:val="nil"/>
              <w:bottom w:val="single" w:sz="4" w:space="0" w:color="auto"/>
              <w:right w:val="single" w:sz="4" w:space="0" w:color="auto"/>
            </w:tcBorders>
            <w:shd w:val="clear" w:color="auto" w:fill="auto"/>
            <w:noWrap/>
            <w:vAlign w:val="bottom"/>
            <w:hideMark/>
          </w:tcPr>
          <w:p w14:paraId="6196D0D9"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51.337</w:t>
            </w:r>
          </w:p>
        </w:tc>
        <w:tc>
          <w:tcPr>
            <w:tcW w:w="1128" w:type="dxa"/>
            <w:tcBorders>
              <w:top w:val="nil"/>
              <w:left w:val="nil"/>
              <w:bottom w:val="single" w:sz="4" w:space="0" w:color="auto"/>
              <w:right w:val="single" w:sz="4" w:space="0" w:color="auto"/>
            </w:tcBorders>
            <w:shd w:val="clear" w:color="auto" w:fill="auto"/>
            <w:noWrap/>
            <w:vAlign w:val="bottom"/>
            <w:hideMark/>
          </w:tcPr>
          <w:p w14:paraId="71D6FEA1"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74.188</w:t>
            </w:r>
          </w:p>
        </w:tc>
        <w:tc>
          <w:tcPr>
            <w:tcW w:w="1032" w:type="dxa"/>
            <w:tcBorders>
              <w:top w:val="nil"/>
              <w:left w:val="nil"/>
              <w:bottom w:val="single" w:sz="4" w:space="0" w:color="auto"/>
              <w:right w:val="single" w:sz="4" w:space="0" w:color="auto"/>
            </w:tcBorders>
            <w:shd w:val="clear" w:color="auto" w:fill="auto"/>
            <w:noWrap/>
            <w:vAlign w:val="bottom"/>
            <w:hideMark/>
          </w:tcPr>
          <w:p w14:paraId="5FF3529C"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100,00%</w:t>
            </w:r>
          </w:p>
        </w:tc>
      </w:tr>
      <w:tr w:rsidR="00DC6AAD" w:rsidRPr="006B6796" w14:paraId="28D7394D" w14:textId="77777777" w:rsidTr="00683004">
        <w:trPr>
          <w:trHeight w:val="315"/>
        </w:trPr>
        <w:tc>
          <w:tcPr>
            <w:tcW w:w="2322" w:type="dxa"/>
            <w:vMerge/>
            <w:tcBorders>
              <w:top w:val="nil"/>
              <w:left w:val="single" w:sz="4" w:space="0" w:color="auto"/>
              <w:bottom w:val="single" w:sz="4" w:space="0" w:color="000000"/>
              <w:right w:val="single" w:sz="4" w:space="0" w:color="auto"/>
            </w:tcBorders>
            <w:shd w:val="clear" w:color="auto" w:fill="BCD9DE" w:themeFill="accent5" w:themeFillTint="66"/>
            <w:vAlign w:val="center"/>
            <w:hideMark/>
          </w:tcPr>
          <w:p w14:paraId="001BE006"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486DF89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2019</w:t>
            </w:r>
          </w:p>
        </w:tc>
        <w:tc>
          <w:tcPr>
            <w:tcW w:w="949" w:type="dxa"/>
            <w:tcBorders>
              <w:top w:val="nil"/>
              <w:left w:val="nil"/>
              <w:bottom w:val="single" w:sz="4" w:space="0" w:color="auto"/>
              <w:right w:val="single" w:sz="4" w:space="0" w:color="auto"/>
            </w:tcBorders>
            <w:shd w:val="clear" w:color="auto" w:fill="auto"/>
            <w:noWrap/>
            <w:vAlign w:val="bottom"/>
            <w:hideMark/>
          </w:tcPr>
          <w:p w14:paraId="3DE73584"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18.186</w:t>
            </w:r>
          </w:p>
        </w:tc>
        <w:tc>
          <w:tcPr>
            <w:tcW w:w="947" w:type="dxa"/>
            <w:tcBorders>
              <w:top w:val="nil"/>
              <w:left w:val="nil"/>
              <w:bottom w:val="single" w:sz="4" w:space="0" w:color="auto"/>
              <w:right w:val="single" w:sz="4" w:space="0" w:color="auto"/>
            </w:tcBorders>
            <w:shd w:val="clear" w:color="auto" w:fill="auto"/>
            <w:noWrap/>
            <w:vAlign w:val="bottom"/>
            <w:hideMark/>
          </w:tcPr>
          <w:p w14:paraId="69FCDDB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3.858</w:t>
            </w:r>
          </w:p>
        </w:tc>
        <w:tc>
          <w:tcPr>
            <w:tcW w:w="952" w:type="dxa"/>
            <w:tcBorders>
              <w:top w:val="nil"/>
              <w:left w:val="nil"/>
              <w:bottom w:val="single" w:sz="4" w:space="0" w:color="auto"/>
              <w:right w:val="single" w:sz="4" w:space="0" w:color="auto"/>
            </w:tcBorders>
            <w:shd w:val="clear" w:color="auto" w:fill="auto"/>
            <w:noWrap/>
            <w:vAlign w:val="bottom"/>
            <w:hideMark/>
          </w:tcPr>
          <w:p w14:paraId="24D1E037"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956</w:t>
            </w:r>
          </w:p>
        </w:tc>
        <w:tc>
          <w:tcPr>
            <w:tcW w:w="950" w:type="dxa"/>
            <w:tcBorders>
              <w:top w:val="nil"/>
              <w:left w:val="nil"/>
              <w:bottom w:val="single" w:sz="4" w:space="0" w:color="auto"/>
              <w:right w:val="single" w:sz="4" w:space="0" w:color="auto"/>
            </w:tcBorders>
            <w:shd w:val="clear" w:color="auto" w:fill="auto"/>
            <w:noWrap/>
            <w:vAlign w:val="bottom"/>
            <w:hideMark/>
          </w:tcPr>
          <w:p w14:paraId="22935CB3"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52.161</w:t>
            </w:r>
          </w:p>
        </w:tc>
        <w:tc>
          <w:tcPr>
            <w:tcW w:w="1128" w:type="dxa"/>
            <w:tcBorders>
              <w:top w:val="nil"/>
              <w:left w:val="nil"/>
              <w:bottom w:val="single" w:sz="4" w:space="0" w:color="auto"/>
              <w:right w:val="single" w:sz="4" w:space="0" w:color="auto"/>
            </w:tcBorders>
            <w:shd w:val="clear" w:color="auto" w:fill="auto"/>
            <w:noWrap/>
            <w:vAlign w:val="bottom"/>
            <w:hideMark/>
          </w:tcPr>
          <w:p w14:paraId="0A57F3C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75.161</w:t>
            </w:r>
          </w:p>
        </w:tc>
        <w:tc>
          <w:tcPr>
            <w:tcW w:w="1032" w:type="dxa"/>
            <w:tcBorders>
              <w:top w:val="nil"/>
              <w:left w:val="nil"/>
              <w:bottom w:val="single" w:sz="4" w:space="0" w:color="auto"/>
              <w:right w:val="single" w:sz="4" w:space="0" w:color="auto"/>
            </w:tcBorders>
            <w:shd w:val="clear" w:color="auto" w:fill="auto"/>
            <w:noWrap/>
            <w:vAlign w:val="bottom"/>
            <w:hideMark/>
          </w:tcPr>
          <w:p w14:paraId="6B2FEE56"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100,00%</w:t>
            </w:r>
          </w:p>
        </w:tc>
      </w:tr>
      <w:tr w:rsidR="00DC6AAD" w:rsidRPr="006B6796" w14:paraId="652AD4FC" w14:textId="77777777" w:rsidTr="00683004">
        <w:trPr>
          <w:trHeight w:val="315"/>
        </w:trPr>
        <w:tc>
          <w:tcPr>
            <w:tcW w:w="2322" w:type="dxa"/>
            <w:vMerge/>
            <w:tcBorders>
              <w:top w:val="nil"/>
              <w:left w:val="single" w:sz="4" w:space="0" w:color="auto"/>
              <w:bottom w:val="single" w:sz="4" w:space="0" w:color="000000"/>
              <w:right w:val="single" w:sz="4" w:space="0" w:color="auto"/>
            </w:tcBorders>
            <w:shd w:val="clear" w:color="auto" w:fill="BCD9DE" w:themeFill="accent5" w:themeFillTint="66"/>
            <w:vAlign w:val="center"/>
            <w:hideMark/>
          </w:tcPr>
          <w:p w14:paraId="63BE13B7"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auto"/>
            <w:noWrap/>
            <w:vAlign w:val="bottom"/>
            <w:hideMark/>
          </w:tcPr>
          <w:p w14:paraId="0E073E08"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2020</w:t>
            </w:r>
          </w:p>
        </w:tc>
        <w:tc>
          <w:tcPr>
            <w:tcW w:w="949" w:type="dxa"/>
            <w:tcBorders>
              <w:top w:val="nil"/>
              <w:left w:val="nil"/>
              <w:bottom w:val="single" w:sz="4" w:space="0" w:color="auto"/>
              <w:right w:val="single" w:sz="4" w:space="0" w:color="auto"/>
            </w:tcBorders>
            <w:shd w:val="clear" w:color="auto" w:fill="auto"/>
            <w:noWrap/>
            <w:vAlign w:val="bottom"/>
            <w:hideMark/>
          </w:tcPr>
          <w:p w14:paraId="46E3779F"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18.218</w:t>
            </w:r>
          </w:p>
        </w:tc>
        <w:tc>
          <w:tcPr>
            <w:tcW w:w="947" w:type="dxa"/>
            <w:tcBorders>
              <w:top w:val="nil"/>
              <w:left w:val="nil"/>
              <w:bottom w:val="single" w:sz="4" w:space="0" w:color="auto"/>
              <w:right w:val="single" w:sz="4" w:space="0" w:color="auto"/>
            </w:tcBorders>
            <w:shd w:val="clear" w:color="auto" w:fill="auto"/>
            <w:noWrap/>
            <w:vAlign w:val="bottom"/>
            <w:hideMark/>
          </w:tcPr>
          <w:p w14:paraId="1F70E9E0"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3.680</w:t>
            </w:r>
          </w:p>
        </w:tc>
        <w:tc>
          <w:tcPr>
            <w:tcW w:w="952" w:type="dxa"/>
            <w:tcBorders>
              <w:top w:val="nil"/>
              <w:left w:val="nil"/>
              <w:bottom w:val="single" w:sz="4" w:space="0" w:color="auto"/>
              <w:right w:val="single" w:sz="4" w:space="0" w:color="auto"/>
            </w:tcBorders>
            <w:shd w:val="clear" w:color="auto" w:fill="auto"/>
            <w:noWrap/>
            <w:vAlign w:val="bottom"/>
            <w:hideMark/>
          </w:tcPr>
          <w:p w14:paraId="49C90B6B"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920</w:t>
            </w:r>
          </w:p>
        </w:tc>
        <w:tc>
          <w:tcPr>
            <w:tcW w:w="950" w:type="dxa"/>
            <w:tcBorders>
              <w:top w:val="nil"/>
              <w:left w:val="nil"/>
              <w:bottom w:val="single" w:sz="4" w:space="0" w:color="auto"/>
              <w:right w:val="single" w:sz="4" w:space="0" w:color="auto"/>
            </w:tcBorders>
            <w:shd w:val="clear" w:color="auto" w:fill="auto"/>
            <w:noWrap/>
            <w:vAlign w:val="bottom"/>
            <w:hideMark/>
          </w:tcPr>
          <w:p w14:paraId="40C7E7E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52.687</w:t>
            </w:r>
          </w:p>
        </w:tc>
        <w:tc>
          <w:tcPr>
            <w:tcW w:w="1128" w:type="dxa"/>
            <w:tcBorders>
              <w:top w:val="nil"/>
              <w:left w:val="nil"/>
              <w:bottom w:val="single" w:sz="4" w:space="0" w:color="auto"/>
              <w:right w:val="single" w:sz="4" w:space="0" w:color="auto"/>
            </w:tcBorders>
            <w:shd w:val="clear" w:color="auto" w:fill="auto"/>
            <w:noWrap/>
            <w:vAlign w:val="bottom"/>
            <w:hideMark/>
          </w:tcPr>
          <w:p w14:paraId="50196A0E"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75.505</w:t>
            </w:r>
          </w:p>
        </w:tc>
        <w:tc>
          <w:tcPr>
            <w:tcW w:w="1032" w:type="dxa"/>
            <w:tcBorders>
              <w:top w:val="nil"/>
              <w:left w:val="nil"/>
              <w:bottom w:val="single" w:sz="4" w:space="0" w:color="auto"/>
              <w:right w:val="single" w:sz="4" w:space="0" w:color="auto"/>
            </w:tcBorders>
            <w:shd w:val="clear" w:color="auto" w:fill="auto"/>
            <w:noWrap/>
            <w:vAlign w:val="bottom"/>
            <w:hideMark/>
          </w:tcPr>
          <w:p w14:paraId="7A0677B2"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100,00%</w:t>
            </w:r>
          </w:p>
        </w:tc>
      </w:tr>
      <w:tr w:rsidR="00DC6AAD" w:rsidRPr="006B6796" w14:paraId="24C6FA12" w14:textId="77777777" w:rsidTr="00683004">
        <w:trPr>
          <w:trHeight w:val="315"/>
        </w:trPr>
        <w:tc>
          <w:tcPr>
            <w:tcW w:w="2322" w:type="dxa"/>
            <w:vMerge/>
            <w:tcBorders>
              <w:top w:val="nil"/>
              <w:left w:val="single" w:sz="4" w:space="0" w:color="auto"/>
              <w:bottom w:val="single" w:sz="4" w:space="0" w:color="000000"/>
              <w:right w:val="single" w:sz="4" w:space="0" w:color="auto"/>
            </w:tcBorders>
            <w:shd w:val="clear" w:color="auto" w:fill="BCD9DE" w:themeFill="accent5" w:themeFillTint="66"/>
            <w:vAlign w:val="center"/>
            <w:hideMark/>
          </w:tcPr>
          <w:p w14:paraId="3739A1FC" w14:textId="77777777" w:rsidR="00DC6AAD" w:rsidRPr="006B6796" w:rsidRDefault="00DC6AAD" w:rsidP="00744E87">
            <w:pPr>
              <w:spacing w:after="0" w:line="240" w:lineRule="auto"/>
              <w:rPr>
                <w:rFonts w:asciiTheme="majorHAnsi" w:eastAsia="Times New Roman" w:hAnsiTheme="majorHAnsi" w:cstheme="majorHAnsi"/>
                <w:b/>
                <w:bCs/>
                <w:color w:val="000000"/>
                <w:sz w:val="20"/>
                <w:szCs w:val="20"/>
                <w:lang w:val="hr-HR" w:eastAsia="hr-HR"/>
              </w:rPr>
            </w:pPr>
          </w:p>
        </w:tc>
        <w:tc>
          <w:tcPr>
            <w:tcW w:w="960" w:type="dxa"/>
            <w:tcBorders>
              <w:top w:val="nil"/>
              <w:left w:val="nil"/>
              <w:bottom w:val="single" w:sz="4" w:space="0" w:color="auto"/>
              <w:right w:val="single" w:sz="4" w:space="0" w:color="auto"/>
            </w:tcBorders>
            <w:shd w:val="clear" w:color="auto" w:fill="BCD9DE" w:themeFill="accent5" w:themeFillTint="66"/>
            <w:noWrap/>
            <w:vAlign w:val="bottom"/>
            <w:hideMark/>
          </w:tcPr>
          <w:p w14:paraId="3908239A"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2021</w:t>
            </w:r>
          </w:p>
        </w:tc>
        <w:tc>
          <w:tcPr>
            <w:tcW w:w="949" w:type="dxa"/>
            <w:tcBorders>
              <w:top w:val="nil"/>
              <w:left w:val="nil"/>
              <w:bottom w:val="single" w:sz="4" w:space="0" w:color="auto"/>
              <w:right w:val="single" w:sz="4" w:space="0" w:color="auto"/>
            </w:tcBorders>
            <w:shd w:val="clear" w:color="auto" w:fill="BCD9DE" w:themeFill="accent5" w:themeFillTint="66"/>
            <w:noWrap/>
            <w:vAlign w:val="bottom"/>
            <w:hideMark/>
          </w:tcPr>
          <w:p w14:paraId="084AA9BC"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18.990</w:t>
            </w:r>
          </w:p>
        </w:tc>
        <w:tc>
          <w:tcPr>
            <w:tcW w:w="947" w:type="dxa"/>
            <w:tcBorders>
              <w:top w:val="nil"/>
              <w:left w:val="nil"/>
              <w:bottom w:val="single" w:sz="4" w:space="0" w:color="auto"/>
              <w:right w:val="single" w:sz="4" w:space="0" w:color="auto"/>
            </w:tcBorders>
            <w:shd w:val="clear" w:color="auto" w:fill="BCD9DE" w:themeFill="accent5" w:themeFillTint="66"/>
            <w:noWrap/>
            <w:vAlign w:val="bottom"/>
            <w:hideMark/>
          </w:tcPr>
          <w:p w14:paraId="335E3C28"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3.630</w:t>
            </w:r>
          </w:p>
        </w:tc>
        <w:tc>
          <w:tcPr>
            <w:tcW w:w="952" w:type="dxa"/>
            <w:tcBorders>
              <w:top w:val="nil"/>
              <w:left w:val="nil"/>
              <w:bottom w:val="single" w:sz="4" w:space="0" w:color="auto"/>
              <w:right w:val="single" w:sz="4" w:space="0" w:color="auto"/>
            </w:tcBorders>
            <w:shd w:val="clear" w:color="auto" w:fill="BCD9DE" w:themeFill="accent5" w:themeFillTint="66"/>
            <w:noWrap/>
            <w:vAlign w:val="bottom"/>
            <w:hideMark/>
          </w:tcPr>
          <w:p w14:paraId="4136A079"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919</w:t>
            </w:r>
          </w:p>
        </w:tc>
        <w:tc>
          <w:tcPr>
            <w:tcW w:w="950" w:type="dxa"/>
            <w:tcBorders>
              <w:top w:val="nil"/>
              <w:left w:val="nil"/>
              <w:bottom w:val="single" w:sz="4" w:space="0" w:color="auto"/>
              <w:right w:val="single" w:sz="4" w:space="0" w:color="auto"/>
            </w:tcBorders>
            <w:shd w:val="clear" w:color="auto" w:fill="BCD9DE" w:themeFill="accent5" w:themeFillTint="66"/>
            <w:noWrap/>
            <w:vAlign w:val="bottom"/>
            <w:hideMark/>
          </w:tcPr>
          <w:p w14:paraId="67B728E8"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53.188</w:t>
            </w:r>
          </w:p>
        </w:tc>
        <w:tc>
          <w:tcPr>
            <w:tcW w:w="1128" w:type="dxa"/>
            <w:tcBorders>
              <w:top w:val="nil"/>
              <w:left w:val="nil"/>
              <w:bottom w:val="single" w:sz="4" w:space="0" w:color="auto"/>
              <w:right w:val="single" w:sz="4" w:space="0" w:color="auto"/>
            </w:tcBorders>
            <w:shd w:val="clear" w:color="auto" w:fill="BCD9DE" w:themeFill="accent5" w:themeFillTint="66"/>
            <w:noWrap/>
            <w:vAlign w:val="bottom"/>
            <w:hideMark/>
          </w:tcPr>
          <w:p w14:paraId="78A93C25" w14:textId="77777777" w:rsidR="00DC6AAD" w:rsidRPr="006B6796" w:rsidRDefault="00DC6AAD" w:rsidP="00744E87">
            <w:pPr>
              <w:spacing w:after="0" w:line="240" w:lineRule="auto"/>
              <w:jc w:val="right"/>
              <w:rPr>
                <w:rFonts w:asciiTheme="majorHAnsi" w:eastAsia="Times New Roman" w:hAnsiTheme="majorHAnsi" w:cstheme="majorHAnsi"/>
                <w:b/>
                <w:bCs/>
                <w:color w:val="000000"/>
                <w:sz w:val="20"/>
                <w:szCs w:val="20"/>
                <w:lang w:val="hr-HR" w:eastAsia="hr-HR"/>
              </w:rPr>
            </w:pPr>
            <w:r w:rsidRPr="006B6796">
              <w:rPr>
                <w:rFonts w:asciiTheme="majorHAnsi" w:eastAsia="Times New Roman" w:hAnsiTheme="majorHAnsi" w:cstheme="majorHAnsi"/>
                <w:b/>
                <w:bCs/>
                <w:color w:val="000000"/>
                <w:sz w:val="20"/>
                <w:szCs w:val="20"/>
                <w:lang w:val="hr-HR" w:eastAsia="hr-HR"/>
              </w:rPr>
              <w:t>76.727</w:t>
            </w:r>
          </w:p>
        </w:tc>
        <w:tc>
          <w:tcPr>
            <w:tcW w:w="1032" w:type="dxa"/>
            <w:tcBorders>
              <w:top w:val="nil"/>
              <w:left w:val="nil"/>
              <w:bottom w:val="single" w:sz="4" w:space="0" w:color="auto"/>
              <w:right w:val="single" w:sz="4" w:space="0" w:color="auto"/>
            </w:tcBorders>
            <w:shd w:val="clear" w:color="auto" w:fill="BCD9DE" w:themeFill="accent5" w:themeFillTint="66"/>
            <w:noWrap/>
            <w:vAlign w:val="bottom"/>
            <w:hideMark/>
          </w:tcPr>
          <w:p w14:paraId="0F755EEA" w14:textId="77777777" w:rsidR="00DC6AAD" w:rsidRPr="006B6796" w:rsidRDefault="00DC6AAD" w:rsidP="00744E87">
            <w:pPr>
              <w:spacing w:after="0" w:line="240" w:lineRule="auto"/>
              <w:jc w:val="right"/>
              <w:rPr>
                <w:rFonts w:asciiTheme="majorHAnsi" w:eastAsia="Times New Roman" w:hAnsiTheme="majorHAnsi" w:cstheme="majorHAnsi"/>
                <w:color w:val="000000"/>
                <w:sz w:val="20"/>
                <w:szCs w:val="20"/>
                <w:lang w:val="hr-HR" w:eastAsia="hr-HR"/>
              </w:rPr>
            </w:pPr>
            <w:r w:rsidRPr="006B6796">
              <w:rPr>
                <w:rFonts w:asciiTheme="majorHAnsi" w:eastAsia="Times New Roman" w:hAnsiTheme="majorHAnsi" w:cstheme="majorHAnsi"/>
                <w:color w:val="000000"/>
                <w:sz w:val="20"/>
                <w:szCs w:val="20"/>
                <w:lang w:val="hr-HR" w:eastAsia="hr-HR"/>
              </w:rPr>
              <w:t>100,00%</w:t>
            </w:r>
          </w:p>
        </w:tc>
      </w:tr>
    </w:tbl>
    <w:p w14:paraId="16AF2C6C" w14:textId="1BBE6ACE" w:rsidR="00E440CE" w:rsidRDefault="003422A9" w:rsidP="00B944DF">
      <w:pPr>
        <w:rPr>
          <w:rFonts w:asciiTheme="majorHAnsi" w:hAnsiTheme="majorHAnsi" w:cstheme="majorHAnsi"/>
          <w:i/>
          <w:sz w:val="18"/>
          <w:szCs w:val="18"/>
        </w:rPr>
      </w:pPr>
      <w:r w:rsidRPr="00ED7B99">
        <w:rPr>
          <w:rFonts w:asciiTheme="majorHAnsi" w:hAnsiTheme="majorHAnsi" w:cstheme="majorHAnsi"/>
          <w:i/>
          <w:sz w:val="18"/>
          <w:szCs w:val="18"/>
        </w:rPr>
        <w:t>Izvor: BISNODE baza podataka; Federalni zavod za statistiku</w:t>
      </w:r>
    </w:p>
    <w:p w14:paraId="73142AF0" w14:textId="25C0A4D2" w:rsidR="00B944DF" w:rsidRDefault="00B944DF" w:rsidP="00B944DF">
      <w:pPr>
        <w:jc w:val="both"/>
        <w:rPr>
          <w:rFonts w:asciiTheme="majorHAnsi" w:hAnsiTheme="majorHAnsi" w:cstheme="majorHAnsi"/>
        </w:rPr>
      </w:pPr>
      <w:r w:rsidRPr="00B944DF">
        <w:rPr>
          <w:rFonts w:asciiTheme="majorHAnsi" w:hAnsiTheme="majorHAnsi" w:cstheme="majorHAnsi"/>
        </w:rPr>
        <w:t xml:space="preserve">Kao što je moguće zaključiti na osnovu podataka iz Tabele 12, skoro polovina subjekata male privrede Federacije BiH odnosno (46,8% u 2021. godini)  posluje na području dva kantona Federacije BiH – Kantonu Sarajevo i Tuzlanskom kantonu, pri čemu </w:t>
      </w:r>
      <w:r>
        <w:rPr>
          <w:rFonts w:asciiTheme="majorHAnsi" w:hAnsiTheme="majorHAnsi" w:cstheme="majorHAnsi"/>
        </w:rPr>
        <w:t>n</w:t>
      </w:r>
      <w:r w:rsidRPr="00B944DF">
        <w:rPr>
          <w:rFonts w:asciiTheme="majorHAnsi" w:hAnsiTheme="majorHAnsi" w:cstheme="majorHAnsi"/>
        </w:rPr>
        <w:t xml:space="preserve">ajveći broj subjekata male privrede posluje  na području Kantona Sarajevo (27,16% u 2021. godini), a zatim na području Tuzlanskog kantona (19,64% u 2021. godini). </w:t>
      </w:r>
      <w:r>
        <w:rPr>
          <w:rFonts w:asciiTheme="majorHAnsi" w:hAnsiTheme="majorHAnsi" w:cstheme="majorHAnsi"/>
        </w:rPr>
        <w:t xml:space="preserve">Po brojnosti subjekata male privrede u FBih zatim slijede Zeničko-dobojski kantona (14,49% u 2021. godini) i Hercegovačko-neretvanski kanton (12,3% u 2021. godini). Najmanje subjekata male privrede u FBiH u 2021. godini zabilježeno je na području </w:t>
      </w:r>
      <w:r w:rsidR="00041B36">
        <w:rPr>
          <w:rFonts w:asciiTheme="majorHAnsi" w:hAnsiTheme="majorHAnsi" w:cstheme="majorHAnsi"/>
        </w:rPr>
        <w:t xml:space="preserve">Bosansko-podrinjiskom kantona (0,89%), Posavskog kantona (1,14%)  i Kantona 10 (2,62%). </w:t>
      </w:r>
    </w:p>
    <w:p w14:paraId="6A7FC1EF" w14:textId="4AF1D41E" w:rsidR="00EE5ED2" w:rsidRDefault="00EE5ED2" w:rsidP="00B944DF">
      <w:pPr>
        <w:jc w:val="both"/>
        <w:rPr>
          <w:rFonts w:asciiTheme="majorHAnsi" w:hAnsiTheme="majorHAnsi" w:cstheme="majorHAnsi"/>
        </w:rPr>
      </w:pPr>
      <w:r>
        <w:rPr>
          <w:rFonts w:asciiTheme="majorHAnsi" w:hAnsiTheme="majorHAnsi" w:cstheme="majorHAnsi"/>
        </w:rPr>
        <w:t xml:space="preserve">Ukoliko se posmatraju </w:t>
      </w:r>
      <w:r w:rsidRPr="00EE5ED2">
        <w:rPr>
          <w:rFonts w:asciiTheme="majorHAnsi" w:hAnsiTheme="majorHAnsi" w:cstheme="majorHAnsi"/>
          <w:i/>
          <w:iCs/>
        </w:rPr>
        <w:t>mikro preduzeća</w:t>
      </w:r>
      <w:r>
        <w:rPr>
          <w:rFonts w:asciiTheme="majorHAnsi" w:hAnsiTheme="majorHAnsi" w:cstheme="majorHAnsi"/>
        </w:rPr>
        <w:t>, ohrabruje činjenica da je u odnosu na 2020. godinu u 2021. godini na području Federacije BiH došlo do rasta mikro preduzeća i to za 772 odnosno za 4,3%, što je ujedno i najveći broj mikro preduzeća zabilježenih na području FBiH u periodu 2018.-2021. godina. Nešto više od jedne trećine mikro preduzeća FBiH (35,5%) u 2021. godini zabilježeno je na području Kantona Sarajevo, dok po brojnosti mikro preduzeća potom slijedi Tuzlanski kanton sa ukupno 2.971 mikro preduzećem ili 15,7% ukupnog broja mikro preduzeća FBiH. Najmanji broj mikro preduzeća zabilježen je na području Bosansko-podrisnjog kantona – 135 ili 0,7% ukupnog broja mikro preduzeća FBiH.</w:t>
      </w:r>
    </w:p>
    <w:p w14:paraId="3A634FC7" w14:textId="7DE4A26F" w:rsidR="00EE5ED2" w:rsidRDefault="00EE5ED2" w:rsidP="00B944DF">
      <w:pPr>
        <w:jc w:val="both"/>
        <w:rPr>
          <w:rFonts w:asciiTheme="majorHAnsi" w:hAnsiTheme="majorHAnsi" w:cstheme="majorHAnsi"/>
        </w:rPr>
      </w:pPr>
      <w:r>
        <w:rPr>
          <w:rFonts w:asciiTheme="majorHAnsi" w:hAnsiTheme="majorHAnsi" w:cstheme="majorHAnsi"/>
        </w:rPr>
        <w:t xml:space="preserve">Negativan trend, odnosno pad broja zabilježen je kod </w:t>
      </w:r>
      <w:r w:rsidRPr="00AB7DC0">
        <w:rPr>
          <w:rFonts w:asciiTheme="majorHAnsi" w:hAnsiTheme="majorHAnsi" w:cstheme="majorHAnsi"/>
          <w:i/>
          <w:iCs/>
        </w:rPr>
        <w:t>malih preduzeća</w:t>
      </w:r>
      <w:r>
        <w:rPr>
          <w:rFonts w:asciiTheme="majorHAnsi" w:hAnsiTheme="majorHAnsi" w:cstheme="majorHAnsi"/>
        </w:rPr>
        <w:t xml:space="preserve"> Federacije BiH u kojoj se nakon 2020. broj malih preduzeća nastavljao smanjivati u 2021- Broj malih preduzeća u Federaciji BiH u 2021. godini iznosio je 3.630 što je za 228 ili 5,9% manje u odnosu na 2019. godinu. Sličan trend pada zabilježen je i kada se posmatraju </w:t>
      </w:r>
      <w:r w:rsidRPr="00AB7DC0">
        <w:rPr>
          <w:rFonts w:asciiTheme="majorHAnsi" w:hAnsiTheme="majorHAnsi" w:cstheme="majorHAnsi"/>
          <w:i/>
          <w:iCs/>
        </w:rPr>
        <w:t>srednja preduzeća</w:t>
      </w:r>
      <w:r>
        <w:rPr>
          <w:rFonts w:asciiTheme="majorHAnsi" w:hAnsiTheme="majorHAnsi" w:cstheme="majorHAnsi"/>
        </w:rPr>
        <w:t xml:space="preserve"> kojih je u 2021. godini zabilježeno 919</w:t>
      </w:r>
      <w:r w:rsidR="00AB7DC0">
        <w:rPr>
          <w:rFonts w:asciiTheme="majorHAnsi" w:hAnsiTheme="majorHAnsi" w:cstheme="majorHAnsi"/>
        </w:rPr>
        <w:t xml:space="preserve">, što je za 37 ili 3,8% manje u odnosu na 2019. godinu. </w:t>
      </w:r>
      <w:r w:rsidR="00B837A6">
        <w:rPr>
          <w:rFonts w:asciiTheme="majorHAnsi" w:hAnsiTheme="majorHAnsi" w:cstheme="majorHAnsi"/>
        </w:rPr>
        <w:t xml:space="preserve">Najveći rast broja srednjih preduzeća u posmatranom periodu 2018.-2021. godina bilježi se na području Zeničko-dobojskog kantona. Naime, u 2021. godini na području ovog Kantona zabilježen je rad 164 srednja preduzeća što je više za 12 srednjih preduzeća u odnosu na 2020. godinu. Ipak, kao i sulučaju ostalih subjekata male privrede, najveći broj srednjih </w:t>
      </w:r>
      <w:r w:rsidR="00B837A6">
        <w:rPr>
          <w:rFonts w:asciiTheme="majorHAnsi" w:hAnsiTheme="majorHAnsi" w:cstheme="majorHAnsi"/>
        </w:rPr>
        <w:lastRenderedPageBreak/>
        <w:t xml:space="preserve">preduzeća u 2021. godini zabilježen je na području Kantona Sarajevo (238) odnosno 25,8% implicirajući da  ¼ srednjih preduzeća FBiH posluje na području ovog Kantona. Po brojnosti srednjih preduzeća na nivou FBiH u 2021. godini slijede Tuzlanski kanton (21,3%) te Zeničko-dobojski kanton (17,8%). </w:t>
      </w:r>
    </w:p>
    <w:p w14:paraId="6558FB94" w14:textId="77777777" w:rsidR="00B837A6" w:rsidRPr="00ED7B99" w:rsidRDefault="00B837A6" w:rsidP="00B837A6">
      <w:pPr>
        <w:jc w:val="both"/>
        <w:rPr>
          <w:rFonts w:asciiTheme="majorHAnsi" w:hAnsiTheme="majorHAnsi" w:cstheme="majorHAnsi"/>
        </w:rPr>
      </w:pPr>
      <w:r w:rsidRPr="00ED7B99">
        <w:rPr>
          <w:rFonts w:asciiTheme="majorHAnsi" w:hAnsiTheme="majorHAnsi" w:cstheme="majorHAnsi"/>
        </w:rPr>
        <w:t>Ukoliko se</w:t>
      </w:r>
      <w:r>
        <w:rPr>
          <w:rFonts w:asciiTheme="majorHAnsi" w:hAnsiTheme="majorHAnsi" w:cstheme="majorHAnsi"/>
        </w:rPr>
        <w:t>, pak</w:t>
      </w:r>
      <w:r w:rsidRPr="00ED7B99">
        <w:rPr>
          <w:rFonts w:asciiTheme="majorHAnsi" w:hAnsiTheme="majorHAnsi" w:cstheme="majorHAnsi"/>
        </w:rPr>
        <w:t xml:space="preserve"> posmatra broj </w:t>
      </w:r>
      <w:r w:rsidRPr="00B837A6">
        <w:rPr>
          <w:rFonts w:asciiTheme="majorHAnsi" w:hAnsiTheme="majorHAnsi" w:cstheme="majorHAnsi"/>
          <w:i/>
          <w:iCs/>
        </w:rPr>
        <w:t>obrta i srodnih djelatnosti</w:t>
      </w:r>
      <w:r w:rsidRPr="00ED7B99">
        <w:rPr>
          <w:rFonts w:asciiTheme="majorHAnsi" w:hAnsiTheme="majorHAnsi" w:cstheme="majorHAnsi"/>
        </w:rPr>
        <w:t xml:space="preserve"> na području Federacije BiH u 2021. godini </w:t>
      </w:r>
      <w:r>
        <w:rPr>
          <w:rFonts w:asciiTheme="majorHAnsi" w:hAnsiTheme="majorHAnsi" w:cstheme="majorHAnsi"/>
        </w:rPr>
        <w:t xml:space="preserve">i ovdje se </w:t>
      </w:r>
      <w:r w:rsidRPr="00ED7B99">
        <w:rPr>
          <w:rFonts w:asciiTheme="majorHAnsi" w:hAnsiTheme="majorHAnsi" w:cstheme="majorHAnsi"/>
        </w:rPr>
        <w:t>može zaključiti da skoro polovina ovih subjekata male privrede posluje na području 2 kantona u Federaciji BiH – Kantonu Sarajevo (12.825 – 24,1%) i Tuzlanskom kantonu (11.261 - 21,2%). Dinamika kontinuiranog rasta broja obrta na nivou FBiH uočava se i na području Kantona Sarajevo,  Zeničko-dobojskog kantona, Bosansko-podrinjskog kantona i Srednjebosanskog kantona. Najveći pad broja obrta na nivou Federacije BiH u 2021. u odnosu na 2018. godinu zabilježen je na području Tuzlanskog kantona gdje se u 2021. godini bilježi 270 manje obrtnika u 2021. godini.</w:t>
      </w:r>
    </w:p>
    <w:p w14:paraId="72CE94E1" w14:textId="164098C7" w:rsidR="004C5A0C" w:rsidRPr="00ED7B99" w:rsidRDefault="00041B36" w:rsidP="004C5A0C">
      <w:pPr>
        <w:jc w:val="both"/>
        <w:rPr>
          <w:rFonts w:asciiTheme="majorHAnsi" w:hAnsiTheme="majorHAnsi" w:cstheme="majorHAnsi"/>
        </w:rPr>
      </w:pPr>
      <w:r>
        <w:rPr>
          <w:rFonts w:asciiTheme="majorHAnsi" w:hAnsiTheme="majorHAnsi" w:cstheme="majorHAnsi"/>
        </w:rPr>
        <w:t xml:space="preserve">Pored ukupnog broja subjekata male privrede jako je važno izanalizirati podatak o broju subjekata male privrede na 1.000 stanovnika. Pregled ovog pokazatelja na nivou Federacije BiH u 2021. godini dat je u Tabeli 13. </w:t>
      </w:r>
    </w:p>
    <w:p w14:paraId="7C23815C" w14:textId="1CA39FF4" w:rsidR="00041B36" w:rsidRDefault="00041B36" w:rsidP="00041B36">
      <w:pPr>
        <w:pStyle w:val="Caption"/>
        <w:keepNext/>
      </w:pPr>
      <w:r>
        <w:t xml:space="preserve">Tabela </w:t>
      </w:r>
      <w:fldSimple w:instr=" SEQ Tabela \* ARABIC ">
        <w:r w:rsidR="006A3335">
          <w:rPr>
            <w:noProof/>
          </w:rPr>
          <w:t>13</w:t>
        </w:r>
      </w:fldSimple>
      <w:r>
        <w:t xml:space="preserve">. </w:t>
      </w:r>
      <w:r w:rsidRPr="00E85A88">
        <w:t>Broj subjekata male privrede na 1.000 stanovnika u 2021. godini</w:t>
      </w:r>
    </w:p>
    <w:tbl>
      <w:tblPr>
        <w:tblW w:w="9557" w:type="dxa"/>
        <w:tblLook w:val="04A0" w:firstRow="1" w:lastRow="0" w:firstColumn="1" w:lastColumn="0" w:noHBand="0" w:noVBand="1"/>
      </w:tblPr>
      <w:tblGrid>
        <w:gridCol w:w="1793"/>
        <w:gridCol w:w="717"/>
        <w:gridCol w:w="626"/>
        <w:gridCol w:w="702"/>
        <w:gridCol w:w="717"/>
        <w:gridCol w:w="835"/>
        <w:gridCol w:w="1091"/>
        <w:gridCol w:w="912"/>
        <w:gridCol w:w="912"/>
        <w:gridCol w:w="1252"/>
      </w:tblGrid>
      <w:tr w:rsidR="004C5A0C" w:rsidRPr="00ED7B99" w14:paraId="05D6C0EE" w14:textId="77777777" w:rsidTr="00041B36">
        <w:trPr>
          <w:trHeight w:val="975"/>
        </w:trPr>
        <w:tc>
          <w:tcPr>
            <w:tcW w:w="1793" w:type="dxa"/>
            <w:tcBorders>
              <w:top w:val="single" w:sz="8" w:space="0" w:color="BDD7EE"/>
              <w:left w:val="single" w:sz="8" w:space="0" w:color="BDD7EE"/>
              <w:bottom w:val="single" w:sz="8" w:space="0" w:color="BDD7EE"/>
              <w:right w:val="single" w:sz="8" w:space="0" w:color="BDD7EE"/>
            </w:tcBorders>
            <w:shd w:val="clear" w:color="000000" w:fill="DAEEF3"/>
            <w:vAlign w:val="center"/>
            <w:hideMark/>
          </w:tcPr>
          <w:p w14:paraId="7A327A97"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Kanton</w:t>
            </w:r>
          </w:p>
        </w:tc>
        <w:tc>
          <w:tcPr>
            <w:tcW w:w="717" w:type="dxa"/>
            <w:tcBorders>
              <w:top w:val="single" w:sz="8" w:space="0" w:color="BDD7EE"/>
              <w:left w:val="nil"/>
              <w:bottom w:val="single" w:sz="8" w:space="0" w:color="BDD7EE"/>
              <w:right w:val="single" w:sz="8" w:space="0" w:color="BDD7EE"/>
            </w:tcBorders>
            <w:shd w:val="clear" w:color="000000" w:fill="DAEEF3"/>
            <w:vAlign w:val="center"/>
            <w:hideMark/>
          </w:tcPr>
          <w:p w14:paraId="7D95E09F"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Mikro</w:t>
            </w:r>
          </w:p>
        </w:tc>
        <w:tc>
          <w:tcPr>
            <w:tcW w:w="626" w:type="dxa"/>
            <w:tcBorders>
              <w:top w:val="single" w:sz="8" w:space="0" w:color="BDD7EE"/>
              <w:left w:val="nil"/>
              <w:bottom w:val="single" w:sz="8" w:space="0" w:color="BDD7EE"/>
              <w:right w:val="single" w:sz="8" w:space="0" w:color="BDD7EE"/>
            </w:tcBorders>
            <w:shd w:val="clear" w:color="000000" w:fill="DAEEF3"/>
            <w:vAlign w:val="center"/>
            <w:hideMark/>
          </w:tcPr>
          <w:p w14:paraId="79D73802"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 xml:space="preserve">Mala </w:t>
            </w:r>
          </w:p>
        </w:tc>
        <w:tc>
          <w:tcPr>
            <w:tcW w:w="702" w:type="dxa"/>
            <w:tcBorders>
              <w:top w:val="single" w:sz="8" w:space="0" w:color="BDD7EE"/>
              <w:left w:val="nil"/>
              <w:bottom w:val="single" w:sz="8" w:space="0" w:color="BDD7EE"/>
              <w:right w:val="single" w:sz="8" w:space="0" w:color="BDD7EE"/>
            </w:tcBorders>
            <w:shd w:val="clear" w:color="000000" w:fill="DAEEF3"/>
            <w:vAlign w:val="center"/>
            <w:hideMark/>
          </w:tcPr>
          <w:p w14:paraId="508C957E"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Srednja</w:t>
            </w:r>
          </w:p>
        </w:tc>
        <w:tc>
          <w:tcPr>
            <w:tcW w:w="717" w:type="dxa"/>
            <w:tcBorders>
              <w:top w:val="single" w:sz="8" w:space="0" w:color="BDD7EE"/>
              <w:left w:val="nil"/>
              <w:bottom w:val="single" w:sz="8" w:space="0" w:color="BDD7EE"/>
              <w:right w:val="single" w:sz="8" w:space="0" w:color="BDD7EE"/>
            </w:tcBorders>
            <w:shd w:val="clear" w:color="000000" w:fill="DAEEF3"/>
            <w:vAlign w:val="center"/>
            <w:hideMark/>
          </w:tcPr>
          <w:p w14:paraId="3C4FEAD9"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 xml:space="preserve">Obrti </w:t>
            </w:r>
          </w:p>
        </w:tc>
        <w:tc>
          <w:tcPr>
            <w:tcW w:w="835" w:type="dxa"/>
            <w:tcBorders>
              <w:top w:val="single" w:sz="8" w:space="0" w:color="BDD7EE"/>
              <w:left w:val="nil"/>
              <w:bottom w:val="single" w:sz="8" w:space="0" w:color="BDD7EE"/>
              <w:right w:val="single" w:sz="8" w:space="0" w:color="BDD7EE"/>
            </w:tcBorders>
            <w:shd w:val="clear" w:color="000000" w:fill="DAEEF3"/>
            <w:vAlign w:val="center"/>
            <w:hideMark/>
          </w:tcPr>
          <w:p w14:paraId="60F16C22"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Ukupno subjekata male privrede</w:t>
            </w:r>
          </w:p>
        </w:tc>
        <w:tc>
          <w:tcPr>
            <w:tcW w:w="1091" w:type="dxa"/>
            <w:tcBorders>
              <w:top w:val="single" w:sz="8" w:space="0" w:color="BDD7EE"/>
              <w:left w:val="nil"/>
              <w:bottom w:val="single" w:sz="8" w:space="0" w:color="BDD7EE"/>
              <w:right w:val="single" w:sz="8" w:space="0" w:color="BDD7EE"/>
            </w:tcBorders>
            <w:shd w:val="clear" w:color="000000" w:fill="DAEEF3"/>
            <w:vAlign w:val="center"/>
            <w:hideMark/>
          </w:tcPr>
          <w:p w14:paraId="28CE445F"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Broj stanovnika</w:t>
            </w:r>
          </w:p>
        </w:tc>
        <w:tc>
          <w:tcPr>
            <w:tcW w:w="912" w:type="dxa"/>
            <w:tcBorders>
              <w:top w:val="single" w:sz="8" w:space="0" w:color="BDD7EE"/>
              <w:left w:val="nil"/>
              <w:bottom w:val="single" w:sz="8" w:space="0" w:color="BDD7EE"/>
              <w:right w:val="single" w:sz="8" w:space="0" w:color="BDD7EE"/>
            </w:tcBorders>
            <w:shd w:val="clear" w:color="000000" w:fill="DAEEF3"/>
            <w:vAlign w:val="center"/>
            <w:hideMark/>
          </w:tcPr>
          <w:p w14:paraId="0C21B932"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Broj MMSP na 1000 stanovnika</w:t>
            </w:r>
          </w:p>
        </w:tc>
        <w:tc>
          <w:tcPr>
            <w:tcW w:w="912" w:type="dxa"/>
            <w:tcBorders>
              <w:top w:val="single" w:sz="8" w:space="0" w:color="BDD7EE"/>
              <w:left w:val="nil"/>
              <w:bottom w:val="single" w:sz="8" w:space="0" w:color="BDD7EE"/>
              <w:right w:val="single" w:sz="8" w:space="0" w:color="BDD7EE"/>
            </w:tcBorders>
            <w:shd w:val="clear" w:color="000000" w:fill="DAEEF3"/>
            <w:vAlign w:val="center"/>
            <w:hideMark/>
          </w:tcPr>
          <w:p w14:paraId="04CA6DFD"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Broj obrta na 1.000 stanovnika</w:t>
            </w:r>
          </w:p>
        </w:tc>
        <w:tc>
          <w:tcPr>
            <w:tcW w:w="1252" w:type="dxa"/>
            <w:tcBorders>
              <w:top w:val="single" w:sz="8" w:space="0" w:color="BDD7EE"/>
              <w:left w:val="nil"/>
              <w:bottom w:val="single" w:sz="8" w:space="0" w:color="BDD7EE"/>
              <w:right w:val="single" w:sz="8" w:space="0" w:color="BDD7EE"/>
            </w:tcBorders>
            <w:shd w:val="clear" w:color="000000" w:fill="DAEEF3"/>
            <w:vAlign w:val="center"/>
            <w:hideMark/>
          </w:tcPr>
          <w:p w14:paraId="64EA2693" w14:textId="77777777" w:rsidR="004C5A0C" w:rsidRPr="00ED7B99" w:rsidRDefault="004C5A0C" w:rsidP="004C5A0C">
            <w:pPr>
              <w:spacing w:after="0" w:line="240" w:lineRule="auto"/>
              <w:jc w:val="center"/>
              <w:rPr>
                <w:rFonts w:asciiTheme="majorHAnsi" w:eastAsia="Times New Roman" w:hAnsiTheme="majorHAnsi" w:cstheme="majorHAnsi"/>
                <w:b/>
                <w:bCs/>
                <w:color w:val="000000"/>
                <w:sz w:val="16"/>
                <w:szCs w:val="16"/>
                <w:lang w:val="hr-HR" w:eastAsia="hr-HR"/>
              </w:rPr>
            </w:pPr>
            <w:r w:rsidRPr="00ED7B99">
              <w:rPr>
                <w:rFonts w:asciiTheme="majorHAnsi" w:eastAsia="Times New Roman" w:hAnsiTheme="majorHAnsi" w:cstheme="majorHAnsi"/>
                <w:b/>
                <w:bCs/>
                <w:color w:val="000000"/>
                <w:sz w:val="16"/>
                <w:szCs w:val="16"/>
                <w:lang w:val="hr-HR" w:eastAsia="hr-HR"/>
              </w:rPr>
              <w:t>Broj subjekata male privrede na 1.000 stanovnika</w:t>
            </w:r>
          </w:p>
        </w:tc>
      </w:tr>
      <w:tr w:rsidR="004C5A0C" w:rsidRPr="00ED7B99" w14:paraId="04EDD831" w14:textId="77777777" w:rsidTr="00041B36">
        <w:trPr>
          <w:trHeight w:val="49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1AB410AD"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Unsko sanski</w:t>
            </w:r>
          </w:p>
        </w:tc>
        <w:tc>
          <w:tcPr>
            <w:tcW w:w="717" w:type="dxa"/>
            <w:tcBorders>
              <w:top w:val="nil"/>
              <w:left w:val="nil"/>
              <w:bottom w:val="single" w:sz="8" w:space="0" w:color="BDD7EE"/>
              <w:right w:val="single" w:sz="8" w:space="0" w:color="BDD7EE"/>
            </w:tcBorders>
            <w:shd w:val="clear" w:color="auto" w:fill="auto"/>
            <w:vAlign w:val="center"/>
            <w:hideMark/>
          </w:tcPr>
          <w:p w14:paraId="08F088C1"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1.552    </w:t>
            </w:r>
          </w:p>
        </w:tc>
        <w:tc>
          <w:tcPr>
            <w:tcW w:w="626" w:type="dxa"/>
            <w:tcBorders>
              <w:top w:val="nil"/>
              <w:left w:val="nil"/>
              <w:bottom w:val="single" w:sz="8" w:space="0" w:color="BDD7EE"/>
              <w:right w:val="single" w:sz="8" w:space="0" w:color="BDD7EE"/>
            </w:tcBorders>
            <w:shd w:val="clear" w:color="auto" w:fill="auto"/>
            <w:vAlign w:val="center"/>
            <w:hideMark/>
          </w:tcPr>
          <w:p w14:paraId="0EBB07AB"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324    </w:t>
            </w:r>
          </w:p>
        </w:tc>
        <w:tc>
          <w:tcPr>
            <w:tcW w:w="702" w:type="dxa"/>
            <w:tcBorders>
              <w:top w:val="nil"/>
              <w:left w:val="nil"/>
              <w:bottom w:val="single" w:sz="8" w:space="0" w:color="BDD7EE"/>
              <w:right w:val="single" w:sz="8" w:space="0" w:color="BDD7EE"/>
            </w:tcBorders>
            <w:shd w:val="clear" w:color="auto" w:fill="auto"/>
            <w:vAlign w:val="center"/>
            <w:hideMark/>
          </w:tcPr>
          <w:p w14:paraId="3821DD66"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62    </w:t>
            </w:r>
          </w:p>
        </w:tc>
        <w:tc>
          <w:tcPr>
            <w:tcW w:w="717" w:type="dxa"/>
            <w:tcBorders>
              <w:top w:val="nil"/>
              <w:left w:val="nil"/>
              <w:bottom w:val="single" w:sz="8" w:space="0" w:color="BDD7EE"/>
              <w:right w:val="single" w:sz="8" w:space="0" w:color="BDD7EE"/>
            </w:tcBorders>
            <w:shd w:val="clear" w:color="auto" w:fill="auto"/>
            <w:vAlign w:val="center"/>
            <w:hideMark/>
          </w:tcPr>
          <w:p w14:paraId="06376754"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4.029    </w:t>
            </w:r>
          </w:p>
        </w:tc>
        <w:tc>
          <w:tcPr>
            <w:tcW w:w="835" w:type="dxa"/>
            <w:tcBorders>
              <w:top w:val="nil"/>
              <w:left w:val="nil"/>
              <w:bottom w:val="single" w:sz="8" w:space="0" w:color="BDD7EE"/>
              <w:right w:val="single" w:sz="8" w:space="0" w:color="BDD7EE"/>
            </w:tcBorders>
            <w:shd w:val="clear" w:color="auto" w:fill="auto"/>
            <w:vAlign w:val="center"/>
            <w:hideMark/>
          </w:tcPr>
          <w:p w14:paraId="1683A9C1"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5.967    </w:t>
            </w:r>
          </w:p>
        </w:tc>
        <w:tc>
          <w:tcPr>
            <w:tcW w:w="1091" w:type="dxa"/>
            <w:tcBorders>
              <w:top w:val="nil"/>
              <w:left w:val="nil"/>
              <w:bottom w:val="single" w:sz="8" w:space="0" w:color="BDD7EE"/>
              <w:right w:val="single" w:sz="8" w:space="0" w:color="BDD7EE"/>
            </w:tcBorders>
            <w:shd w:val="clear" w:color="auto" w:fill="auto"/>
            <w:noWrap/>
            <w:vAlign w:val="bottom"/>
            <w:hideMark/>
          </w:tcPr>
          <w:p w14:paraId="54141958"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264.248</w:t>
            </w:r>
          </w:p>
        </w:tc>
        <w:tc>
          <w:tcPr>
            <w:tcW w:w="912" w:type="dxa"/>
            <w:tcBorders>
              <w:top w:val="nil"/>
              <w:left w:val="nil"/>
              <w:bottom w:val="single" w:sz="8" w:space="0" w:color="BDD7EE"/>
              <w:right w:val="single" w:sz="8" w:space="0" w:color="BDD7EE"/>
            </w:tcBorders>
            <w:shd w:val="clear" w:color="auto" w:fill="auto"/>
            <w:noWrap/>
            <w:vAlign w:val="center"/>
            <w:hideMark/>
          </w:tcPr>
          <w:p w14:paraId="221D22B5"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7,3</w:t>
            </w:r>
          </w:p>
        </w:tc>
        <w:tc>
          <w:tcPr>
            <w:tcW w:w="912" w:type="dxa"/>
            <w:tcBorders>
              <w:top w:val="nil"/>
              <w:left w:val="nil"/>
              <w:bottom w:val="single" w:sz="8" w:space="0" w:color="BDD7EE"/>
              <w:right w:val="single" w:sz="8" w:space="0" w:color="BDD7EE"/>
            </w:tcBorders>
            <w:shd w:val="clear" w:color="auto" w:fill="auto"/>
            <w:noWrap/>
            <w:vAlign w:val="center"/>
            <w:hideMark/>
          </w:tcPr>
          <w:p w14:paraId="52C93625"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15,2</w:t>
            </w:r>
          </w:p>
        </w:tc>
        <w:tc>
          <w:tcPr>
            <w:tcW w:w="1252" w:type="dxa"/>
            <w:tcBorders>
              <w:top w:val="nil"/>
              <w:left w:val="nil"/>
              <w:bottom w:val="single" w:sz="8" w:space="0" w:color="BDD7EE"/>
              <w:right w:val="single" w:sz="8" w:space="0" w:color="BDD7EE"/>
            </w:tcBorders>
            <w:shd w:val="clear" w:color="auto" w:fill="auto"/>
            <w:noWrap/>
            <w:vAlign w:val="center"/>
            <w:hideMark/>
          </w:tcPr>
          <w:p w14:paraId="0C2F12B8"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22,6</w:t>
            </w:r>
          </w:p>
        </w:tc>
      </w:tr>
      <w:tr w:rsidR="004C5A0C" w:rsidRPr="00ED7B99" w14:paraId="6A3422A4" w14:textId="77777777" w:rsidTr="00041B36">
        <w:trPr>
          <w:trHeight w:val="31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338B7DE2"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Posavski</w:t>
            </w:r>
          </w:p>
        </w:tc>
        <w:tc>
          <w:tcPr>
            <w:tcW w:w="717" w:type="dxa"/>
            <w:tcBorders>
              <w:top w:val="nil"/>
              <w:left w:val="nil"/>
              <w:bottom w:val="single" w:sz="8" w:space="0" w:color="BDD7EE"/>
              <w:right w:val="single" w:sz="8" w:space="0" w:color="BDD7EE"/>
            </w:tcBorders>
            <w:shd w:val="clear" w:color="auto" w:fill="auto"/>
            <w:vAlign w:val="center"/>
            <w:hideMark/>
          </w:tcPr>
          <w:p w14:paraId="096915C8"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268    </w:t>
            </w:r>
          </w:p>
        </w:tc>
        <w:tc>
          <w:tcPr>
            <w:tcW w:w="626" w:type="dxa"/>
            <w:tcBorders>
              <w:top w:val="nil"/>
              <w:left w:val="nil"/>
              <w:bottom w:val="single" w:sz="8" w:space="0" w:color="BDD7EE"/>
              <w:right w:val="single" w:sz="8" w:space="0" w:color="BDD7EE"/>
            </w:tcBorders>
            <w:shd w:val="clear" w:color="auto" w:fill="auto"/>
            <w:vAlign w:val="center"/>
            <w:hideMark/>
          </w:tcPr>
          <w:p w14:paraId="1F75427F"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54    </w:t>
            </w:r>
          </w:p>
        </w:tc>
        <w:tc>
          <w:tcPr>
            <w:tcW w:w="702" w:type="dxa"/>
            <w:tcBorders>
              <w:top w:val="nil"/>
              <w:left w:val="nil"/>
              <w:bottom w:val="single" w:sz="8" w:space="0" w:color="BDD7EE"/>
              <w:right w:val="single" w:sz="8" w:space="0" w:color="BDD7EE"/>
            </w:tcBorders>
            <w:shd w:val="clear" w:color="auto" w:fill="auto"/>
            <w:vAlign w:val="center"/>
            <w:hideMark/>
          </w:tcPr>
          <w:p w14:paraId="7084B563"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14    </w:t>
            </w:r>
          </w:p>
        </w:tc>
        <w:tc>
          <w:tcPr>
            <w:tcW w:w="717" w:type="dxa"/>
            <w:tcBorders>
              <w:top w:val="nil"/>
              <w:left w:val="nil"/>
              <w:bottom w:val="single" w:sz="8" w:space="0" w:color="BDD7EE"/>
              <w:right w:val="single" w:sz="8" w:space="0" w:color="BDD7EE"/>
            </w:tcBorders>
            <w:shd w:val="clear" w:color="auto" w:fill="auto"/>
            <w:vAlign w:val="center"/>
            <w:hideMark/>
          </w:tcPr>
          <w:p w14:paraId="2E2F7A19"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535    </w:t>
            </w:r>
          </w:p>
        </w:tc>
        <w:tc>
          <w:tcPr>
            <w:tcW w:w="835" w:type="dxa"/>
            <w:tcBorders>
              <w:top w:val="nil"/>
              <w:left w:val="nil"/>
              <w:bottom w:val="single" w:sz="8" w:space="0" w:color="BDD7EE"/>
              <w:right w:val="single" w:sz="8" w:space="0" w:color="BDD7EE"/>
            </w:tcBorders>
            <w:shd w:val="clear" w:color="auto" w:fill="auto"/>
            <w:vAlign w:val="center"/>
            <w:hideMark/>
          </w:tcPr>
          <w:p w14:paraId="6E6BD08B"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871    </w:t>
            </w:r>
          </w:p>
        </w:tc>
        <w:tc>
          <w:tcPr>
            <w:tcW w:w="1091" w:type="dxa"/>
            <w:tcBorders>
              <w:top w:val="nil"/>
              <w:left w:val="nil"/>
              <w:bottom w:val="single" w:sz="8" w:space="0" w:color="BDD7EE"/>
              <w:right w:val="single" w:sz="8" w:space="0" w:color="BDD7EE"/>
            </w:tcBorders>
            <w:shd w:val="clear" w:color="auto" w:fill="auto"/>
            <w:noWrap/>
            <w:vAlign w:val="bottom"/>
            <w:hideMark/>
          </w:tcPr>
          <w:p w14:paraId="392C5EEE"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40.422</w:t>
            </w:r>
          </w:p>
        </w:tc>
        <w:tc>
          <w:tcPr>
            <w:tcW w:w="912" w:type="dxa"/>
            <w:tcBorders>
              <w:top w:val="nil"/>
              <w:left w:val="nil"/>
              <w:bottom w:val="single" w:sz="8" w:space="0" w:color="BDD7EE"/>
              <w:right w:val="single" w:sz="8" w:space="0" w:color="BDD7EE"/>
            </w:tcBorders>
            <w:shd w:val="clear" w:color="auto" w:fill="auto"/>
            <w:noWrap/>
            <w:vAlign w:val="center"/>
            <w:hideMark/>
          </w:tcPr>
          <w:p w14:paraId="7642A2CE"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8,3</w:t>
            </w:r>
          </w:p>
        </w:tc>
        <w:tc>
          <w:tcPr>
            <w:tcW w:w="912" w:type="dxa"/>
            <w:tcBorders>
              <w:top w:val="nil"/>
              <w:left w:val="nil"/>
              <w:bottom w:val="single" w:sz="8" w:space="0" w:color="BDD7EE"/>
              <w:right w:val="single" w:sz="8" w:space="0" w:color="BDD7EE"/>
            </w:tcBorders>
            <w:shd w:val="clear" w:color="auto" w:fill="auto"/>
            <w:noWrap/>
            <w:vAlign w:val="center"/>
            <w:hideMark/>
          </w:tcPr>
          <w:p w14:paraId="756CAA93"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13,2</w:t>
            </w:r>
          </w:p>
        </w:tc>
        <w:tc>
          <w:tcPr>
            <w:tcW w:w="1252" w:type="dxa"/>
            <w:tcBorders>
              <w:top w:val="nil"/>
              <w:left w:val="nil"/>
              <w:bottom w:val="single" w:sz="8" w:space="0" w:color="BDD7EE"/>
              <w:right w:val="single" w:sz="8" w:space="0" w:color="BDD7EE"/>
            </w:tcBorders>
            <w:shd w:val="clear" w:color="auto" w:fill="auto"/>
            <w:noWrap/>
            <w:vAlign w:val="center"/>
            <w:hideMark/>
          </w:tcPr>
          <w:p w14:paraId="64D8BF6A"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21,5</w:t>
            </w:r>
          </w:p>
        </w:tc>
      </w:tr>
      <w:tr w:rsidR="004C5A0C" w:rsidRPr="00ED7B99" w14:paraId="476D122F" w14:textId="77777777" w:rsidTr="00041B36">
        <w:trPr>
          <w:trHeight w:val="31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6D21E550"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Tuzlanski</w:t>
            </w:r>
          </w:p>
        </w:tc>
        <w:tc>
          <w:tcPr>
            <w:tcW w:w="717" w:type="dxa"/>
            <w:tcBorders>
              <w:top w:val="nil"/>
              <w:left w:val="nil"/>
              <w:bottom w:val="single" w:sz="8" w:space="0" w:color="BDD7EE"/>
              <w:right w:val="single" w:sz="8" w:space="0" w:color="BDD7EE"/>
            </w:tcBorders>
            <w:shd w:val="clear" w:color="auto" w:fill="auto"/>
            <w:vAlign w:val="center"/>
            <w:hideMark/>
          </w:tcPr>
          <w:p w14:paraId="486711F1"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2.971    </w:t>
            </w:r>
          </w:p>
        </w:tc>
        <w:tc>
          <w:tcPr>
            <w:tcW w:w="626" w:type="dxa"/>
            <w:tcBorders>
              <w:top w:val="nil"/>
              <w:left w:val="nil"/>
              <w:bottom w:val="single" w:sz="8" w:space="0" w:color="BDD7EE"/>
              <w:right w:val="single" w:sz="8" w:space="0" w:color="BDD7EE"/>
            </w:tcBorders>
            <w:shd w:val="clear" w:color="auto" w:fill="auto"/>
            <w:vAlign w:val="center"/>
            <w:hideMark/>
          </w:tcPr>
          <w:p w14:paraId="35282956"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641    </w:t>
            </w:r>
          </w:p>
        </w:tc>
        <w:tc>
          <w:tcPr>
            <w:tcW w:w="702" w:type="dxa"/>
            <w:tcBorders>
              <w:top w:val="nil"/>
              <w:left w:val="nil"/>
              <w:bottom w:val="single" w:sz="8" w:space="0" w:color="BDD7EE"/>
              <w:right w:val="single" w:sz="8" w:space="0" w:color="BDD7EE"/>
            </w:tcBorders>
            <w:shd w:val="clear" w:color="auto" w:fill="auto"/>
            <w:vAlign w:val="center"/>
            <w:hideMark/>
          </w:tcPr>
          <w:p w14:paraId="60C69976"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196    </w:t>
            </w:r>
          </w:p>
        </w:tc>
        <w:tc>
          <w:tcPr>
            <w:tcW w:w="717" w:type="dxa"/>
            <w:tcBorders>
              <w:top w:val="nil"/>
              <w:left w:val="nil"/>
              <w:bottom w:val="single" w:sz="8" w:space="0" w:color="BDD7EE"/>
              <w:right w:val="single" w:sz="8" w:space="0" w:color="BDD7EE"/>
            </w:tcBorders>
            <w:shd w:val="clear" w:color="auto" w:fill="auto"/>
            <w:vAlign w:val="center"/>
            <w:hideMark/>
          </w:tcPr>
          <w:p w14:paraId="3DFA402C"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11.261    </w:t>
            </w:r>
          </w:p>
        </w:tc>
        <w:tc>
          <w:tcPr>
            <w:tcW w:w="835" w:type="dxa"/>
            <w:tcBorders>
              <w:top w:val="nil"/>
              <w:left w:val="nil"/>
              <w:bottom w:val="single" w:sz="8" w:space="0" w:color="BDD7EE"/>
              <w:right w:val="single" w:sz="8" w:space="0" w:color="BDD7EE"/>
            </w:tcBorders>
            <w:shd w:val="clear" w:color="auto" w:fill="auto"/>
            <w:vAlign w:val="center"/>
            <w:hideMark/>
          </w:tcPr>
          <w:p w14:paraId="447CBEF0"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15.069    </w:t>
            </w:r>
          </w:p>
        </w:tc>
        <w:tc>
          <w:tcPr>
            <w:tcW w:w="1091" w:type="dxa"/>
            <w:tcBorders>
              <w:top w:val="nil"/>
              <w:left w:val="nil"/>
              <w:bottom w:val="single" w:sz="8" w:space="0" w:color="BDD7EE"/>
              <w:right w:val="single" w:sz="8" w:space="0" w:color="BDD7EE"/>
            </w:tcBorders>
            <w:shd w:val="clear" w:color="auto" w:fill="auto"/>
            <w:noWrap/>
            <w:vAlign w:val="bottom"/>
            <w:hideMark/>
          </w:tcPr>
          <w:p w14:paraId="00B5C6B2"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434.424</w:t>
            </w:r>
          </w:p>
        </w:tc>
        <w:tc>
          <w:tcPr>
            <w:tcW w:w="912" w:type="dxa"/>
            <w:tcBorders>
              <w:top w:val="nil"/>
              <w:left w:val="nil"/>
              <w:bottom w:val="single" w:sz="8" w:space="0" w:color="BDD7EE"/>
              <w:right w:val="single" w:sz="8" w:space="0" w:color="BDD7EE"/>
            </w:tcBorders>
            <w:shd w:val="clear" w:color="auto" w:fill="auto"/>
            <w:noWrap/>
            <w:vAlign w:val="center"/>
            <w:hideMark/>
          </w:tcPr>
          <w:p w14:paraId="58945568"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8,8</w:t>
            </w:r>
          </w:p>
        </w:tc>
        <w:tc>
          <w:tcPr>
            <w:tcW w:w="912" w:type="dxa"/>
            <w:tcBorders>
              <w:top w:val="nil"/>
              <w:left w:val="nil"/>
              <w:bottom w:val="single" w:sz="8" w:space="0" w:color="BDD7EE"/>
              <w:right w:val="single" w:sz="8" w:space="0" w:color="BDD7EE"/>
            </w:tcBorders>
            <w:shd w:val="clear" w:color="auto" w:fill="auto"/>
            <w:noWrap/>
            <w:vAlign w:val="center"/>
            <w:hideMark/>
          </w:tcPr>
          <w:p w14:paraId="4D9D6035"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25,9</w:t>
            </w:r>
          </w:p>
        </w:tc>
        <w:tc>
          <w:tcPr>
            <w:tcW w:w="1252" w:type="dxa"/>
            <w:tcBorders>
              <w:top w:val="nil"/>
              <w:left w:val="nil"/>
              <w:bottom w:val="single" w:sz="8" w:space="0" w:color="BDD7EE"/>
              <w:right w:val="single" w:sz="8" w:space="0" w:color="BDD7EE"/>
            </w:tcBorders>
            <w:shd w:val="clear" w:color="auto" w:fill="auto"/>
            <w:noWrap/>
            <w:vAlign w:val="center"/>
            <w:hideMark/>
          </w:tcPr>
          <w:p w14:paraId="2980A600"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34,7</w:t>
            </w:r>
          </w:p>
        </w:tc>
      </w:tr>
      <w:tr w:rsidR="004C5A0C" w:rsidRPr="00ED7B99" w14:paraId="7CF24078" w14:textId="77777777" w:rsidTr="00041B36">
        <w:trPr>
          <w:trHeight w:val="31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3E5F7A27"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Zeničko dobojski</w:t>
            </w:r>
          </w:p>
        </w:tc>
        <w:tc>
          <w:tcPr>
            <w:tcW w:w="717" w:type="dxa"/>
            <w:tcBorders>
              <w:top w:val="nil"/>
              <w:left w:val="nil"/>
              <w:bottom w:val="single" w:sz="8" w:space="0" w:color="BDD7EE"/>
              <w:right w:val="single" w:sz="8" w:space="0" w:color="BDD7EE"/>
            </w:tcBorders>
            <w:shd w:val="clear" w:color="auto" w:fill="auto"/>
            <w:vAlign w:val="center"/>
            <w:hideMark/>
          </w:tcPr>
          <w:p w14:paraId="6FDE0547"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2.242    </w:t>
            </w:r>
          </w:p>
        </w:tc>
        <w:tc>
          <w:tcPr>
            <w:tcW w:w="626" w:type="dxa"/>
            <w:tcBorders>
              <w:top w:val="nil"/>
              <w:left w:val="nil"/>
              <w:bottom w:val="single" w:sz="8" w:space="0" w:color="BDD7EE"/>
              <w:right w:val="single" w:sz="8" w:space="0" w:color="BDD7EE"/>
            </w:tcBorders>
            <w:shd w:val="clear" w:color="auto" w:fill="auto"/>
            <w:vAlign w:val="center"/>
            <w:hideMark/>
          </w:tcPr>
          <w:p w14:paraId="337D7033"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546    </w:t>
            </w:r>
          </w:p>
        </w:tc>
        <w:tc>
          <w:tcPr>
            <w:tcW w:w="702" w:type="dxa"/>
            <w:tcBorders>
              <w:top w:val="nil"/>
              <w:left w:val="nil"/>
              <w:bottom w:val="single" w:sz="8" w:space="0" w:color="BDD7EE"/>
              <w:right w:val="single" w:sz="8" w:space="0" w:color="BDD7EE"/>
            </w:tcBorders>
            <w:shd w:val="clear" w:color="auto" w:fill="auto"/>
            <w:vAlign w:val="center"/>
            <w:hideMark/>
          </w:tcPr>
          <w:p w14:paraId="6E4634A8"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164    </w:t>
            </w:r>
          </w:p>
        </w:tc>
        <w:tc>
          <w:tcPr>
            <w:tcW w:w="717" w:type="dxa"/>
            <w:tcBorders>
              <w:top w:val="nil"/>
              <w:left w:val="nil"/>
              <w:bottom w:val="single" w:sz="8" w:space="0" w:color="BDD7EE"/>
              <w:right w:val="single" w:sz="8" w:space="0" w:color="BDD7EE"/>
            </w:tcBorders>
            <w:shd w:val="clear" w:color="auto" w:fill="auto"/>
            <w:vAlign w:val="center"/>
            <w:hideMark/>
          </w:tcPr>
          <w:p w14:paraId="165F12F6"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8.168    </w:t>
            </w:r>
          </w:p>
        </w:tc>
        <w:tc>
          <w:tcPr>
            <w:tcW w:w="835" w:type="dxa"/>
            <w:tcBorders>
              <w:top w:val="nil"/>
              <w:left w:val="nil"/>
              <w:bottom w:val="single" w:sz="8" w:space="0" w:color="BDD7EE"/>
              <w:right w:val="single" w:sz="8" w:space="0" w:color="BDD7EE"/>
            </w:tcBorders>
            <w:shd w:val="clear" w:color="auto" w:fill="auto"/>
            <w:vAlign w:val="center"/>
            <w:hideMark/>
          </w:tcPr>
          <w:p w14:paraId="586719A5"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11.120    </w:t>
            </w:r>
          </w:p>
        </w:tc>
        <w:tc>
          <w:tcPr>
            <w:tcW w:w="1091" w:type="dxa"/>
            <w:tcBorders>
              <w:top w:val="nil"/>
              <w:left w:val="nil"/>
              <w:bottom w:val="single" w:sz="8" w:space="0" w:color="BDD7EE"/>
              <w:right w:val="single" w:sz="8" w:space="0" w:color="BDD7EE"/>
            </w:tcBorders>
            <w:shd w:val="clear" w:color="auto" w:fill="auto"/>
            <w:noWrap/>
            <w:vAlign w:val="bottom"/>
            <w:hideMark/>
          </w:tcPr>
          <w:p w14:paraId="064FA437"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354.285</w:t>
            </w:r>
          </w:p>
        </w:tc>
        <w:tc>
          <w:tcPr>
            <w:tcW w:w="912" w:type="dxa"/>
            <w:tcBorders>
              <w:top w:val="nil"/>
              <w:left w:val="nil"/>
              <w:bottom w:val="single" w:sz="8" w:space="0" w:color="BDD7EE"/>
              <w:right w:val="single" w:sz="8" w:space="0" w:color="BDD7EE"/>
            </w:tcBorders>
            <w:shd w:val="clear" w:color="auto" w:fill="auto"/>
            <w:noWrap/>
            <w:vAlign w:val="center"/>
            <w:hideMark/>
          </w:tcPr>
          <w:p w14:paraId="385B7A38"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8,3</w:t>
            </w:r>
          </w:p>
        </w:tc>
        <w:tc>
          <w:tcPr>
            <w:tcW w:w="912" w:type="dxa"/>
            <w:tcBorders>
              <w:top w:val="nil"/>
              <w:left w:val="nil"/>
              <w:bottom w:val="single" w:sz="8" w:space="0" w:color="BDD7EE"/>
              <w:right w:val="single" w:sz="8" w:space="0" w:color="BDD7EE"/>
            </w:tcBorders>
            <w:shd w:val="clear" w:color="auto" w:fill="auto"/>
            <w:noWrap/>
            <w:vAlign w:val="center"/>
            <w:hideMark/>
          </w:tcPr>
          <w:p w14:paraId="286C7E94"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23,1</w:t>
            </w:r>
          </w:p>
        </w:tc>
        <w:tc>
          <w:tcPr>
            <w:tcW w:w="1252" w:type="dxa"/>
            <w:tcBorders>
              <w:top w:val="nil"/>
              <w:left w:val="nil"/>
              <w:bottom w:val="single" w:sz="8" w:space="0" w:color="BDD7EE"/>
              <w:right w:val="single" w:sz="8" w:space="0" w:color="BDD7EE"/>
            </w:tcBorders>
            <w:shd w:val="clear" w:color="auto" w:fill="auto"/>
            <w:noWrap/>
            <w:vAlign w:val="center"/>
            <w:hideMark/>
          </w:tcPr>
          <w:p w14:paraId="6540AB23"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31,4</w:t>
            </w:r>
          </w:p>
        </w:tc>
      </w:tr>
      <w:tr w:rsidR="004C5A0C" w:rsidRPr="00ED7B99" w14:paraId="0463141C" w14:textId="77777777" w:rsidTr="00041B36">
        <w:trPr>
          <w:trHeight w:val="31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74A024DD"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Bosansko - podrinjski</w:t>
            </w:r>
          </w:p>
        </w:tc>
        <w:tc>
          <w:tcPr>
            <w:tcW w:w="717" w:type="dxa"/>
            <w:tcBorders>
              <w:top w:val="nil"/>
              <w:left w:val="nil"/>
              <w:bottom w:val="single" w:sz="8" w:space="0" w:color="BDD7EE"/>
              <w:right w:val="single" w:sz="8" w:space="0" w:color="BDD7EE"/>
            </w:tcBorders>
            <w:shd w:val="clear" w:color="auto" w:fill="auto"/>
            <w:vAlign w:val="center"/>
            <w:hideMark/>
          </w:tcPr>
          <w:p w14:paraId="3EB33A6E"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135    </w:t>
            </w:r>
          </w:p>
        </w:tc>
        <w:tc>
          <w:tcPr>
            <w:tcW w:w="626" w:type="dxa"/>
            <w:tcBorders>
              <w:top w:val="nil"/>
              <w:left w:val="nil"/>
              <w:bottom w:val="single" w:sz="8" w:space="0" w:color="BDD7EE"/>
              <w:right w:val="single" w:sz="8" w:space="0" w:color="BDD7EE"/>
            </w:tcBorders>
            <w:shd w:val="clear" w:color="auto" w:fill="auto"/>
            <w:vAlign w:val="center"/>
            <w:hideMark/>
          </w:tcPr>
          <w:p w14:paraId="7CD56972"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43    </w:t>
            </w:r>
          </w:p>
        </w:tc>
        <w:tc>
          <w:tcPr>
            <w:tcW w:w="702" w:type="dxa"/>
            <w:tcBorders>
              <w:top w:val="nil"/>
              <w:left w:val="nil"/>
              <w:bottom w:val="single" w:sz="8" w:space="0" w:color="BDD7EE"/>
              <w:right w:val="single" w:sz="8" w:space="0" w:color="BDD7EE"/>
            </w:tcBorders>
            <w:shd w:val="clear" w:color="auto" w:fill="auto"/>
            <w:vAlign w:val="center"/>
            <w:hideMark/>
          </w:tcPr>
          <w:p w14:paraId="223B324D"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8    </w:t>
            </w:r>
          </w:p>
        </w:tc>
        <w:tc>
          <w:tcPr>
            <w:tcW w:w="717" w:type="dxa"/>
            <w:tcBorders>
              <w:top w:val="nil"/>
              <w:left w:val="nil"/>
              <w:bottom w:val="single" w:sz="8" w:space="0" w:color="BDD7EE"/>
              <w:right w:val="single" w:sz="8" w:space="0" w:color="BDD7EE"/>
            </w:tcBorders>
            <w:shd w:val="clear" w:color="auto" w:fill="auto"/>
            <w:vAlign w:val="center"/>
            <w:hideMark/>
          </w:tcPr>
          <w:p w14:paraId="54057F6D"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497    </w:t>
            </w:r>
          </w:p>
        </w:tc>
        <w:tc>
          <w:tcPr>
            <w:tcW w:w="835" w:type="dxa"/>
            <w:tcBorders>
              <w:top w:val="nil"/>
              <w:left w:val="nil"/>
              <w:bottom w:val="single" w:sz="8" w:space="0" w:color="BDD7EE"/>
              <w:right w:val="single" w:sz="8" w:space="0" w:color="BDD7EE"/>
            </w:tcBorders>
            <w:shd w:val="clear" w:color="auto" w:fill="auto"/>
            <w:vAlign w:val="center"/>
            <w:hideMark/>
          </w:tcPr>
          <w:p w14:paraId="71F64F10"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683    </w:t>
            </w:r>
          </w:p>
        </w:tc>
        <w:tc>
          <w:tcPr>
            <w:tcW w:w="1091" w:type="dxa"/>
            <w:tcBorders>
              <w:top w:val="nil"/>
              <w:left w:val="nil"/>
              <w:bottom w:val="single" w:sz="8" w:space="0" w:color="BDD7EE"/>
              <w:right w:val="single" w:sz="8" w:space="0" w:color="BDD7EE"/>
            </w:tcBorders>
            <w:shd w:val="clear" w:color="auto" w:fill="auto"/>
            <w:noWrap/>
            <w:vAlign w:val="bottom"/>
            <w:hideMark/>
          </w:tcPr>
          <w:p w14:paraId="11440A2F"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22.382</w:t>
            </w:r>
          </w:p>
        </w:tc>
        <w:tc>
          <w:tcPr>
            <w:tcW w:w="912" w:type="dxa"/>
            <w:tcBorders>
              <w:top w:val="nil"/>
              <w:left w:val="nil"/>
              <w:bottom w:val="single" w:sz="8" w:space="0" w:color="BDD7EE"/>
              <w:right w:val="single" w:sz="8" w:space="0" w:color="BDD7EE"/>
            </w:tcBorders>
            <w:shd w:val="clear" w:color="auto" w:fill="auto"/>
            <w:noWrap/>
            <w:vAlign w:val="center"/>
            <w:hideMark/>
          </w:tcPr>
          <w:p w14:paraId="7A4759CE"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8,3</w:t>
            </w:r>
          </w:p>
        </w:tc>
        <w:tc>
          <w:tcPr>
            <w:tcW w:w="912" w:type="dxa"/>
            <w:tcBorders>
              <w:top w:val="nil"/>
              <w:left w:val="nil"/>
              <w:bottom w:val="single" w:sz="8" w:space="0" w:color="BDD7EE"/>
              <w:right w:val="single" w:sz="8" w:space="0" w:color="BDD7EE"/>
            </w:tcBorders>
            <w:shd w:val="clear" w:color="auto" w:fill="auto"/>
            <w:noWrap/>
            <w:vAlign w:val="center"/>
            <w:hideMark/>
          </w:tcPr>
          <w:p w14:paraId="1E4D1E89"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22,2</w:t>
            </w:r>
          </w:p>
        </w:tc>
        <w:tc>
          <w:tcPr>
            <w:tcW w:w="1252" w:type="dxa"/>
            <w:tcBorders>
              <w:top w:val="nil"/>
              <w:left w:val="nil"/>
              <w:bottom w:val="single" w:sz="8" w:space="0" w:color="BDD7EE"/>
              <w:right w:val="single" w:sz="8" w:space="0" w:color="BDD7EE"/>
            </w:tcBorders>
            <w:shd w:val="clear" w:color="auto" w:fill="auto"/>
            <w:noWrap/>
            <w:vAlign w:val="center"/>
            <w:hideMark/>
          </w:tcPr>
          <w:p w14:paraId="0F993A6D"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30,5</w:t>
            </w:r>
          </w:p>
        </w:tc>
      </w:tr>
      <w:tr w:rsidR="004C5A0C" w:rsidRPr="00ED7B99" w14:paraId="3EE6D884" w14:textId="77777777" w:rsidTr="00041B36">
        <w:trPr>
          <w:trHeight w:val="31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68072599"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Srednjobosanski</w:t>
            </w:r>
          </w:p>
        </w:tc>
        <w:tc>
          <w:tcPr>
            <w:tcW w:w="717" w:type="dxa"/>
            <w:tcBorders>
              <w:top w:val="nil"/>
              <w:left w:val="nil"/>
              <w:bottom w:val="single" w:sz="8" w:space="0" w:color="BDD7EE"/>
              <w:right w:val="single" w:sz="8" w:space="0" w:color="BDD7EE"/>
            </w:tcBorders>
            <w:shd w:val="clear" w:color="auto" w:fill="auto"/>
            <w:vAlign w:val="center"/>
            <w:hideMark/>
          </w:tcPr>
          <w:p w14:paraId="753A5DF5"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1.321    </w:t>
            </w:r>
          </w:p>
        </w:tc>
        <w:tc>
          <w:tcPr>
            <w:tcW w:w="626" w:type="dxa"/>
            <w:tcBorders>
              <w:top w:val="nil"/>
              <w:left w:val="nil"/>
              <w:bottom w:val="single" w:sz="8" w:space="0" w:color="BDD7EE"/>
              <w:right w:val="single" w:sz="8" w:space="0" w:color="BDD7EE"/>
            </w:tcBorders>
            <w:shd w:val="clear" w:color="auto" w:fill="auto"/>
            <w:vAlign w:val="center"/>
            <w:hideMark/>
          </w:tcPr>
          <w:p w14:paraId="5B33781D"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298    </w:t>
            </w:r>
          </w:p>
        </w:tc>
        <w:tc>
          <w:tcPr>
            <w:tcW w:w="702" w:type="dxa"/>
            <w:tcBorders>
              <w:top w:val="nil"/>
              <w:left w:val="nil"/>
              <w:bottom w:val="single" w:sz="8" w:space="0" w:color="BDD7EE"/>
              <w:right w:val="single" w:sz="8" w:space="0" w:color="BDD7EE"/>
            </w:tcBorders>
            <w:shd w:val="clear" w:color="auto" w:fill="auto"/>
            <w:vAlign w:val="center"/>
            <w:hideMark/>
          </w:tcPr>
          <w:p w14:paraId="6093D0F7"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96    </w:t>
            </w:r>
          </w:p>
        </w:tc>
        <w:tc>
          <w:tcPr>
            <w:tcW w:w="717" w:type="dxa"/>
            <w:tcBorders>
              <w:top w:val="nil"/>
              <w:left w:val="nil"/>
              <w:bottom w:val="single" w:sz="8" w:space="0" w:color="BDD7EE"/>
              <w:right w:val="single" w:sz="8" w:space="0" w:color="BDD7EE"/>
            </w:tcBorders>
            <w:shd w:val="clear" w:color="auto" w:fill="auto"/>
            <w:vAlign w:val="center"/>
            <w:hideMark/>
          </w:tcPr>
          <w:p w14:paraId="21C48B2B"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5.534    </w:t>
            </w:r>
          </w:p>
        </w:tc>
        <w:tc>
          <w:tcPr>
            <w:tcW w:w="835" w:type="dxa"/>
            <w:tcBorders>
              <w:top w:val="nil"/>
              <w:left w:val="nil"/>
              <w:bottom w:val="single" w:sz="8" w:space="0" w:color="BDD7EE"/>
              <w:right w:val="single" w:sz="8" w:space="0" w:color="BDD7EE"/>
            </w:tcBorders>
            <w:shd w:val="clear" w:color="auto" w:fill="auto"/>
            <w:vAlign w:val="center"/>
            <w:hideMark/>
          </w:tcPr>
          <w:p w14:paraId="0C1BB8A1"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7.249    </w:t>
            </w:r>
          </w:p>
        </w:tc>
        <w:tc>
          <w:tcPr>
            <w:tcW w:w="1091" w:type="dxa"/>
            <w:tcBorders>
              <w:top w:val="nil"/>
              <w:left w:val="nil"/>
              <w:bottom w:val="single" w:sz="8" w:space="0" w:color="BDD7EE"/>
              <w:right w:val="single" w:sz="8" w:space="0" w:color="BDD7EE"/>
            </w:tcBorders>
            <w:shd w:val="clear" w:color="auto" w:fill="auto"/>
            <w:noWrap/>
            <w:vAlign w:val="bottom"/>
            <w:hideMark/>
          </w:tcPr>
          <w:p w14:paraId="1E86C152"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247.100</w:t>
            </w:r>
          </w:p>
        </w:tc>
        <w:tc>
          <w:tcPr>
            <w:tcW w:w="912" w:type="dxa"/>
            <w:tcBorders>
              <w:top w:val="nil"/>
              <w:left w:val="nil"/>
              <w:bottom w:val="single" w:sz="8" w:space="0" w:color="BDD7EE"/>
              <w:right w:val="single" w:sz="8" w:space="0" w:color="BDD7EE"/>
            </w:tcBorders>
            <w:shd w:val="clear" w:color="auto" w:fill="auto"/>
            <w:noWrap/>
            <w:vAlign w:val="center"/>
            <w:hideMark/>
          </w:tcPr>
          <w:p w14:paraId="32B32F8C"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6,9</w:t>
            </w:r>
          </w:p>
        </w:tc>
        <w:tc>
          <w:tcPr>
            <w:tcW w:w="912" w:type="dxa"/>
            <w:tcBorders>
              <w:top w:val="nil"/>
              <w:left w:val="nil"/>
              <w:bottom w:val="single" w:sz="8" w:space="0" w:color="BDD7EE"/>
              <w:right w:val="single" w:sz="8" w:space="0" w:color="BDD7EE"/>
            </w:tcBorders>
            <w:shd w:val="clear" w:color="auto" w:fill="auto"/>
            <w:noWrap/>
            <w:vAlign w:val="center"/>
            <w:hideMark/>
          </w:tcPr>
          <w:p w14:paraId="1F33CFA6"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22,4</w:t>
            </w:r>
          </w:p>
        </w:tc>
        <w:tc>
          <w:tcPr>
            <w:tcW w:w="1252" w:type="dxa"/>
            <w:tcBorders>
              <w:top w:val="nil"/>
              <w:left w:val="nil"/>
              <w:bottom w:val="single" w:sz="8" w:space="0" w:color="BDD7EE"/>
              <w:right w:val="single" w:sz="8" w:space="0" w:color="BDD7EE"/>
            </w:tcBorders>
            <w:shd w:val="clear" w:color="auto" w:fill="auto"/>
            <w:noWrap/>
            <w:vAlign w:val="center"/>
            <w:hideMark/>
          </w:tcPr>
          <w:p w14:paraId="21B1D937"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29,3</w:t>
            </w:r>
          </w:p>
        </w:tc>
      </w:tr>
      <w:tr w:rsidR="004C5A0C" w:rsidRPr="00ED7B99" w14:paraId="5318AEB9" w14:textId="77777777" w:rsidTr="00041B36">
        <w:trPr>
          <w:trHeight w:val="49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390D0902"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Hercegovačko - neretvanski</w:t>
            </w:r>
          </w:p>
        </w:tc>
        <w:tc>
          <w:tcPr>
            <w:tcW w:w="717" w:type="dxa"/>
            <w:tcBorders>
              <w:top w:val="nil"/>
              <w:left w:val="nil"/>
              <w:bottom w:val="single" w:sz="8" w:space="0" w:color="BDD7EE"/>
              <w:right w:val="single" w:sz="8" w:space="0" w:color="BDD7EE"/>
            </w:tcBorders>
            <w:shd w:val="clear" w:color="auto" w:fill="auto"/>
            <w:vAlign w:val="center"/>
            <w:hideMark/>
          </w:tcPr>
          <w:p w14:paraId="441F6F63"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2.182    </w:t>
            </w:r>
          </w:p>
        </w:tc>
        <w:tc>
          <w:tcPr>
            <w:tcW w:w="626" w:type="dxa"/>
            <w:tcBorders>
              <w:top w:val="nil"/>
              <w:left w:val="nil"/>
              <w:bottom w:val="single" w:sz="8" w:space="0" w:color="BDD7EE"/>
              <w:right w:val="single" w:sz="8" w:space="0" w:color="BDD7EE"/>
            </w:tcBorders>
            <w:shd w:val="clear" w:color="auto" w:fill="auto"/>
            <w:vAlign w:val="center"/>
            <w:hideMark/>
          </w:tcPr>
          <w:p w14:paraId="050104C2"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410    </w:t>
            </w:r>
          </w:p>
        </w:tc>
        <w:tc>
          <w:tcPr>
            <w:tcW w:w="702" w:type="dxa"/>
            <w:tcBorders>
              <w:top w:val="nil"/>
              <w:left w:val="nil"/>
              <w:bottom w:val="single" w:sz="8" w:space="0" w:color="BDD7EE"/>
              <w:right w:val="single" w:sz="8" w:space="0" w:color="BDD7EE"/>
            </w:tcBorders>
            <w:shd w:val="clear" w:color="auto" w:fill="auto"/>
            <w:vAlign w:val="center"/>
            <w:hideMark/>
          </w:tcPr>
          <w:p w14:paraId="13202726"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76    </w:t>
            </w:r>
          </w:p>
        </w:tc>
        <w:tc>
          <w:tcPr>
            <w:tcW w:w="717" w:type="dxa"/>
            <w:tcBorders>
              <w:top w:val="nil"/>
              <w:left w:val="nil"/>
              <w:bottom w:val="single" w:sz="8" w:space="0" w:color="BDD7EE"/>
              <w:right w:val="single" w:sz="8" w:space="0" w:color="BDD7EE"/>
            </w:tcBorders>
            <w:shd w:val="clear" w:color="auto" w:fill="auto"/>
            <w:vAlign w:val="center"/>
            <w:hideMark/>
          </w:tcPr>
          <w:p w14:paraId="538A97C6"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6.769    </w:t>
            </w:r>
          </w:p>
        </w:tc>
        <w:tc>
          <w:tcPr>
            <w:tcW w:w="835" w:type="dxa"/>
            <w:tcBorders>
              <w:top w:val="nil"/>
              <w:left w:val="nil"/>
              <w:bottom w:val="single" w:sz="8" w:space="0" w:color="BDD7EE"/>
              <w:right w:val="single" w:sz="8" w:space="0" w:color="BDD7EE"/>
            </w:tcBorders>
            <w:shd w:val="clear" w:color="auto" w:fill="auto"/>
            <w:vAlign w:val="center"/>
            <w:hideMark/>
          </w:tcPr>
          <w:p w14:paraId="06ED5EE6"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9.437    </w:t>
            </w:r>
          </w:p>
        </w:tc>
        <w:tc>
          <w:tcPr>
            <w:tcW w:w="1091" w:type="dxa"/>
            <w:tcBorders>
              <w:top w:val="nil"/>
              <w:left w:val="nil"/>
              <w:bottom w:val="single" w:sz="8" w:space="0" w:color="BDD7EE"/>
              <w:right w:val="single" w:sz="8" w:space="0" w:color="BDD7EE"/>
            </w:tcBorders>
            <w:shd w:val="clear" w:color="auto" w:fill="auto"/>
            <w:noWrap/>
            <w:vAlign w:val="bottom"/>
            <w:hideMark/>
          </w:tcPr>
          <w:p w14:paraId="5B5E5A78"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214.523</w:t>
            </w:r>
          </w:p>
        </w:tc>
        <w:tc>
          <w:tcPr>
            <w:tcW w:w="912" w:type="dxa"/>
            <w:tcBorders>
              <w:top w:val="nil"/>
              <w:left w:val="nil"/>
              <w:bottom w:val="single" w:sz="8" w:space="0" w:color="BDD7EE"/>
              <w:right w:val="single" w:sz="8" w:space="0" w:color="BDD7EE"/>
            </w:tcBorders>
            <w:shd w:val="clear" w:color="auto" w:fill="auto"/>
            <w:noWrap/>
            <w:vAlign w:val="center"/>
            <w:hideMark/>
          </w:tcPr>
          <w:p w14:paraId="4DC1A148"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12,4</w:t>
            </w:r>
          </w:p>
        </w:tc>
        <w:tc>
          <w:tcPr>
            <w:tcW w:w="912" w:type="dxa"/>
            <w:tcBorders>
              <w:top w:val="nil"/>
              <w:left w:val="nil"/>
              <w:bottom w:val="single" w:sz="8" w:space="0" w:color="BDD7EE"/>
              <w:right w:val="single" w:sz="8" w:space="0" w:color="BDD7EE"/>
            </w:tcBorders>
            <w:shd w:val="clear" w:color="auto" w:fill="auto"/>
            <w:noWrap/>
            <w:vAlign w:val="center"/>
            <w:hideMark/>
          </w:tcPr>
          <w:p w14:paraId="18553262"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31,6</w:t>
            </w:r>
          </w:p>
        </w:tc>
        <w:tc>
          <w:tcPr>
            <w:tcW w:w="1252" w:type="dxa"/>
            <w:tcBorders>
              <w:top w:val="nil"/>
              <w:left w:val="nil"/>
              <w:bottom w:val="single" w:sz="8" w:space="0" w:color="BDD7EE"/>
              <w:right w:val="single" w:sz="8" w:space="0" w:color="BDD7EE"/>
            </w:tcBorders>
            <w:shd w:val="clear" w:color="auto" w:fill="auto"/>
            <w:noWrap/>
            <w:vAlign w:val="center"/>
            <w:hideMark/>
          </w:tcPr>
          <w:p w14:paraId="177A8A4F"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44,0</w:t>
            </w:r>
          </w:p>
        </w:tc>
      </w:tr>
      <w:tr w:rsidR="004C5A0C" w:rsidRPr="00ED7B99" w14:paraId="7E5E5D97" w14:textId="77777777" w:rsidTr="00041B36">
        <w:trPr>
          <w:trHeight w:val="31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74F3C79F"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Zapadnohercegovački</w:t>
            </w:r>
          </w:p>
        </w:tc>
        <w:tc>
          <w:tcPr>
            <w:tcW w:w="717" w:type="dxa"/>
            <w:tcBorders>
              <w:top w:val="nil"/>
              <w:left w:val="nil"/>
              <w:bottom w:val="single" w:sz="8" w:space="0" w:color="BDD7EE"/>
              <w:right w:val="single" w:sz="8" w:space="0" w:color="BDD7EE"/>
            </w:tcBorders>
            <w:shd w:val="clear" w:color="auto" w:fill="auto"/>
            <w:vAlign w:val="center"/>
            <w:hideMark/>
          </w:tcPr>
          <w:p w14:paraId="473E057D"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1.047    </w:t>
            </w:r>
          </w:p>
        </w:tc>
        <w:tc>
          <w:tcPr>
            <w:tcW w:w="626" w:type="dxa"/>
            <w:tcBorders>
              <w:top w:val="nil"/>
              <w:left w:val="nil"/>
              <w:bottom w:val="single" w:sz="8" w:space="0" w:color="BDD7EE"/>
              <w:right w:val="single" w:sz="8" w:space="0" w:color="BDD7EE"/>
            </w:tcBorders>
            <w:shd w:val="clear" w:color="auto" w:fill="auto"/>
            <w:vAlign w:val="center"/>
            <w:hideMark/>
          </w:tcPr>
          <w:p w14:paraId="31656773"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179    </w:t>
            </w:r>
          </w:p>
        </w:tc>
        <w:tc>
          <w:tcPr>
            <w:tcW w:w="702" w:type="dxa"/>
            <w:tcBorders>
              <w:top w:val="nil"/>
              <w:left w:val="nil"/>
              <w:bottom w:val="single" w:sz="8" w:space="0" w:color="BDD7EE"/>
              <w:right w:val="single" w:sz="8" w:space="0" w:color="BDD7EE"/>
            </w:tcBorders>
            <w:shd w:val="clear" w:color="auto" w:fill="auto"/>
            <w:vAlign w:val="center"/>
            <w:hideMark/>
          </w:tcPr>
          <w:p w14:paraId="1A3E74DB"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50    </w:t>
            </w:r>
          </w:p>
        </w:tc>
        <w:tc>
          <w:tcPr>
            <w:tcW w:w="717" w:type="dxa"/>
            <w:tcBorders>
              <w:top w:val="nil"/>
              <w:left w:val="nil"/>
              <w:bottom w:val="single" w:sz="8" w:space="0" w:color="BDD7EE"/>
              <w:right w:val="single" w:sz="8" w:space="0" w:color="BDD7EE"/>
            </w:tcBorders>
            <w:shd w:val="clear" w:color="auto" w:fill="auto"/>
            <w:vAlign w:val="center"/>
            <w:hideMark/>
          </w:tcPr>
          <w:p w14:paraId="6915B35F"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2.207    </w:t>
            </w:r>
          </w:p>
        </w:tc>
        <w:tc>
          <w:tcPr>
            <w:tcW w:w="835" w:type="dxa"/>
            <w:tcBorders>
              <w:top w:val="nil"/>
              <w:left w:val="nil"/>
              <w:bottom w:val="single" w:sz="8" w:space="0" w:color="BDD7EE"/>
              <w:right w:val="single" w:sz="8" w:space="0" w:color="BDD7EE"/>
            </w:tcBorders>
            <w:shd w:val="clear" w:color="auto" w:fill="auto"/>
            <w:vAlign w:val="center"/>
            <w:hideMark/>
          </w:tcPr>
          <w:p w14:paraId="008F3E19"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3.483    </w:t>
            </w:r>
          </w:p>
        </w:tc>
        <w:tc>
          <w:tcPr>
            <w:tcW w:w="1091" w:type="dxa"/>
            <w:tcBorders>
              <w:top w:val="nil"/>
              <w:left w:val="nil"/>
              <w:bottom w:val="single" w:sz="8" w:space="0" w:color="BDD7EE"/>
              <w:right w:val="single" w:sz="8" w:space="0" w:color="BDD7EE"/>
            </w:tcBorders>
            <w:shd w:val="clear" w:color="auto" w:fill="auto"/>
            <w:noWrap/>
            <w:vAlign w:val="bottom"/>
            <w:hideMark/>
          </w:tcPr>
          <w:p w14:paraId="124DFEDB"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92.704</w:t>
            </w:r>
          </w:p>
        </w:tc>
        <w:tc>
          <w:tcPr>
            <w:tcW w:w="912" w:type="dxa"/>
            <w:tcBorders>
              <w:top w:val="nil"/>
              <w:left w:val="nil"/>
              <w:bottom w:val="single" w:sz="8" w:space="0" w:color="BDD7EE"/>
              <w:right w:val="single" w:sz="8" w:space="0" w:color="BDD7EE"/>
            </w:tcBorders>
            <w:shd w:val="clear" w:color="auto" w:fill="auto"/>
            <w:noWrap/>
            <w:vAlign w:val="center"/>
            <w:hideMark/>
          </w:tcPr>
          <w:p w14:paraId="5536CCC2"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13,8</w:t>
            </w:r>
          </w:p>
        </w:tc>
        <w:tc>
          <w:tcPr>
            <w:tcW w:w="912" w:type="dxa"/>
            <w:tcBorders>
              <w:top w:val="nil"/>
              <w:left w:val="nil"/>
              <w:bottom w:val="single" w:sz="8" w:space="0" w:color="BDD7EE"/>
              <w:right w:val="single" w:sz="8" w:space="0" w:color="BDD7EE"/>
            </w:tcBorders>
            <w:shd w:val="clear" w:color="auto" w:fill="auto"/>
            <w:noWrap/>
            <w:vAlign w:val="center"/>
            <w:hideMark/>
          </w:tcPr>
          <w:p w14:paraId="325A1278"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23,8</w:t>
            </w:r>
          </w:p>
        </w:tc>
        <w:tc>
          <w:tcPr>
            <w:tcW w:w="1252" w:type="dxa"/>
            <w:tcBorders>
              <w:top w:val="nil"/>
              <w:left w:val="nil"/>
              <w:bottom w:val="single" w:sz="8" w:space="0" w:color="BDD7EE"/>
              <w:right w:val="single" w:sz="8" w:space="0" w:color="BDD7EE"/>
            </w:tcBorders>
            <w:shd w:val="clear" w:color="auto" w:fill="auto"/>
            <w:noWrap/>
            <w:vAlign w:val="center"/>
            <w:hideMark/>
          </w:tcPr>
          <w:p w14:paraId="44835B9D"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37,6</w:t>
            </w:r>
          </w:p>
        </w:tc>
      </w:tr>
      <w:tr w:rsidR="004C5A0C" w:rsidRPr="00ED7B99" w14:paraId="2CB9B657" w14:textId="77777777" w:rsidTr="00041B36">
        <w:trPr>
          <w:trHeight w:val="31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0539559B"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Kanton Sarajevo</w:t>
            </w:r>
          </w:p>
        </w:tc>
        <w:tc>
          <w:tcPr>
            <w:tcW w:w="717" w:type="dxa"/>
            <w:tcBorders>
              <w:top w:val="nil"/>
              <w:left w:val="nil"/>
              <w:bottom w:val="single" w:sz="8" w:space="0" w:color="BDD7EE"/>
              <w:right w:val="single" w:sz="8" w:space="0" w:color="BDD7EE"/>
            </w:tcBorders>
            <w:shd w:val="clear" w:color="auto" w:fill="auto"/>
            <w:vAlign w:val="center"/>
            <w:hideMark/>
          </w:tcPr>
          <w:p w14:paraId="0395D695"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6.731    </w:t>
            </w:r>
          </w:p>
        </w:tc>
        <w:tc>
          <w:tcPr>
            <w:tcW w:w="626" w:type="dxa"/>
            <w:tcBorders>
              <w:top w:val="nil"/>
              <w:left w:val="nil"/>
              <w:bottom w:val="single" w:sz="8" w:space="0" w:color="BDD7EE"/>
              <w:right w:val="single" w:sz="8" w:space="0" w:color="BDD7EE"/>
            </w:tcBorders>
            <w:shd w:val="clear" w:color="auto" w:fill="auto"/>
            <w:vAlign w:val="center"/>
            <w:hideMark/>
          </w:tcPr>
          <w:p w14:paraId="2655B93E"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1.045    </w:t>
            </w:r>
          </w:p>
        </w:tc>
        <w:tc>
          <w:tcPr>
            <w:tcW w:w="702" w:type="dxa"/>
            <w:tcBorders>
              <w:top w:val="nil"/>
              <w:left w:val="nil"/>
              <w:bottom w:val="single" w:sz="8" w:space="0" w:color="BDD7EE"/>
              <w:right w:val="single" w:sz="8" w:space="0" w:color="BDD7EE"/>
            </w:tcBorders>
            <w:shd w:val="clear" w:color="auto" w:fill="auto"/>
            <w:vAlign w:val="center"/>
            <w:hideMark/>
          </w:tcPr>
          <w:p w14:paraId="41B05252"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238    </w:t>
            </w:r>
          </w:p>
        </w:tc>
        <w:tc>
          <w:tcPr>
            <w:tcW w:w="717" w:type="dxa"/>
            <w:tcBorders>
              <w:top w:val="nil"/>
              <w:left w:val="nil"/>
              <w:bottom w:val="single" w:sz="8" w:space="0" w:color="BDD7EE"/>
              <w:right w:val="single" w:sz="8" w:space="0" w:color="BDD7EE"/>
            </w:tcBorders>
            <w:shd w:val="clear" w:color="auto" w:fill="auto"/>
            <w:vAlign w:val="center"/>
            <w:hideMark/>
          </w:tcPr>
          <w:p w14:paraId="2452E29E"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12.825    </w:t>
            </w:r>
          </w:p>
        </w:tc>
        <w:tc>
          <w:tcPr>
            <w:tcW w:w="835" w:type="dxa"/>
            <w:tcBorders>
              <w:top w:val="nil"/>
              <w:left w:val="nil"/>
              <w:bottom w:val="single" w:sz="8" w:space="0" w:color="BDD7EE"/>
              <w:right w:val="single" w:sz="8" w:space="0" w:color="BDD7EE"/>
            </w:tcBorders>
            <w:shd w:val="clear" w:color="auto" w:fill="auto"/>
            <w:vAlign w:val="center"/>
            <w:hideMark/>
          </w:tcPr>
          <w:p w14:paraId="1ACC7E2C"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20.839    </w:t>
            </w:r>
          </w:p>
        </w:tc>
        <w:tc>
          <w:tcPr>
            <w:tcW w:w="1091" w:type="dxa"/>
            <w:tcBorders>
              <w:top w:val="nil"/>
              <w:left w:val="nil"/>
              <w:bottom w:val="single" w:sz="8" w:space="0" w:color="BDD7EE"/>
              <w:right w:val="single" w:sz="8" w:space="0" w:color="BDD7EE"/>
            </w:tcBorders>
            <w:shd w:val="clear" w:color="auto" w:fill="auto"/>
            <w:noWrap/>
            <w:vAlign w:val="bottom"/>
            <w:hideMark/>
          </w:tcPr>
          <w:p w14:paraId="32112F5C"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419.918</w:t>
            </w:r>
          </w:p>
        </w:tc>
        <w:tc>
          <w:tcPr>
            <w:tcW w:w="912" w:type="dxa"/>
            <w:tcBorders>
              <w:top w:val="nil"/>
              <w:left w:val="nil"/>
              <w:bottom w:val="single" w:sz="8" w:space="0" w:color="BDD7EE"/>
              <w:right w:val="single" w:sz="8" w:space="0" w:color="BDD7EE"/>
            </w:tcBorders>
            <w:shd w:val="clear" w:color="auto" w:fill="auto"/>
            <w:noWrap/>
            <w:vAlign w:val="center"/>
            <w:hideMark/>
          </w:tcPr>
          <w:p w14:paraId="585299F0"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19,1</w:t>
            </w:r>
          </w:p>
        </w:tc>
        <w:tc>
          <w:tcPr>
            <w:tcW w:w="912" w:type="dxa"/>
            <w:tcBorders>
              <w:top w:val="nil"/>
              <w:left w:val="nil"/>
              <w:bottom w:val="single" w:sz="8" w:space="0" w:color="BDD7EE"/>
              <w:right w:val="single" w:sz="8" w:space="0" w:color="BDD7EE"/>
            </w:tcBorders>
            <w:shd w:val="clear" w:color="auto" w:fill="auto"/>
            <w:noWrap/>
            <w:vAlign w:val="center"/>
            <w:hideMark/>
          </w:tcPr>
          <w:p w14:paraId="73E86AE5"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30,5</w:t>
            </w:r>
          </w:p>
        </w:tc>
        <w:tc>
          <w:tcPr>
            <w:tcW w:w="1252" w:type="dxa"/>
            <w:tcBorders>
              <w:top w:val="nil"/>
              <w:left w:val="nil"/>
              <w:bottom w:val="single" w:sz="8" w:space="0" w:color="BDD7EE"/>
              <w:right w:val="single" w:sz="8" w:space="0" w:color="BDD7EE"/>
            </w:tcBorders>
            <w:shd w:val="clear" w:color="auto" w:fill="auto"/>
            <w:noWrap/>
            <w:vAlign w:val="center"/>
            <w:hideMark/>
          </w:tcPr>
          <w:p w14:paraId="3659C3CF"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49,6</w:t>
            </w:r>
          </w:p>
        </w:tc>
      </w:tr>
      <w:tr w:rsidR="004C5A0C" w:rsidRPr="00ED7B99" w14:paraId="4B7D1A9A" w14:textId="77777777" w:rsidTr="00041B36">
        <w:trPr>
          <w:trHeight w:val="315"/>
        </w:trPr>
        <w:tc>
          <w:tcPr>
            <w:tcW w:w="1793" w:type="dxa"/>
            <w:tcBorders>
              <w:top w:val="nil"/>
              <w:left w:val="single" w:sz="8" w:space="0" w:color="BDD7EE"/>
              <w:bottom w:val="single" w:sz="8" w:space="0" w:color="BDD7EE"/>
              <w:right w:val="single" w:sz="8" w:space="0" w:color="BDD7EE"/>
            </w:tcBorders>
            <w:shd w:val="clear" w:color="auto" w:fill="auto"/>
            <w:vAlign w:val="center"/>
            <w:hideMark/>
          </w:tcPr>
          <w:p w14:paraId="6B94EEC9"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K10</w:t>
            </w:r>
          </w:p>
        </w:tc>
        <w:tc>
          <w:tcPr>
            <w:tcW w:w="717" w:type="dxa"/>
            <w:tcBorders>
              <w:top w:val="nil"/>
              <w:left w:val="nil"/>
              <w:bottom w:val="single" w:sz="8" w:space="0" w:color="BDD7EE"/>
              <w:right w:val="single" w:sz="8" w:space="0" w:color="BDD7EE"/>
            </w:tcBorders>
            <w:shd w:val="clear" w:color="auto" w:fill="auto"/>
            <w:vAlign w:val="center"/>
            <w:hideMark/>
          </w:tcPr>
          <w:p w14:paraId="4B99844A"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541    </w:t>
            </w:r>
          </w:p>
        </w:tc>
        <w:tc>
          <w:tcPr>
            <w:tcW w:w="626" w:type="dxa"/>
            <w:tcBorders>
              <w:top w:val="nil"/>
              <w:left w:val="nil"/>
              <w:bottom w:val="single" w:sz="8" w:space="0" w:color="BDD7EE"/>
              <w:right w:val="single" w:sz="8" w:space="0" w:color="BDD7EE"/>
            </w:tcBorders>
            <w:shd w:val="clear" w:color="auto" w:fill="auto"/>
            <w:vAlign w:val="center"/>
            <w:hideMark/>
          </w:tcPr>
          <w:p w14:paraId="5B74DAAE"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90    </w:t>
            </w:r>
          </w:p>
        </w:tc>
        <w:tc>
          <w:tcPr>
            <w:tcW w:w="702" w:type="dxa"/>
            <w:tcBorders>
              <w:top w:val="nil"/>
              <w:left w:val="nil"/>
              <w:bottom w:val="single" w:sz="8" w:space="0" w:color="BDD7EE"/>
              <w:right w:val="single" w:sz="8" w:space="0" w:color="BDD7EE"/>
            </w:tcBorders>
            <w:shd w:val="clear" w:color="auto" w:fill="auto"/>
            <w:vAlign w:val="center"/>
            <w:hideMark/>
          </w:tcPr>
          <w:p w14:paraId="2CF63036"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15    </w:t>
            </w:r>
          </w:p>
        </w:tc>
        <w:tc>
          <w:tcPr>
            <w:tcW w:w="717" w:type="dxa"/>
            <w:tcBorders>
              <w:top w:val="nil"/>
              <w:left w:val="nil"/>
              <w:bottom w:val="single" w:sz="8" w:space="0" w:color="BDD7EE"/>
              <w:right w:val="single" w:sz="8" w:space="0" w:color="BDD7EE"/>
            </w:tcBorders>
            <w:shd w:val="clear" w:color="auto" w:fill="auto"/>
            <w:vAlign w:val="center"/>
            <w:hideMark/>
          </w:tcPr>
          <w:p w14:paraId="7BA449C7"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1.363    </w:t>
            </w:r>
          </w:p>
        </w:tc>
        <w:tc>
          <w:tcPr>
            <w:tcW w:w="835" w:type="dxa"/>
            <w:tcBorders>
              <w:top w:val="nil"/>
              <w:left w:val="nil"/>
              <w:bottom w:val="single" w:sz="8" w:space="0" w:color="BDD7EE"/>
              <w:right w:val="single" w:sz="8" w:space="0" w:color="BDD7EE"/>
            </w:tcBorders>
            <w:shd w:val="clear" w:color="auto" w:fill="auto"/>
            <w:vAlign w:val="center"/>
            <w:hideMark/>
          </w:tcPr>
          <w:p w14:paraId="68AF400A"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 xml:space="preserve">     2.009    </w:t>
            </w:r>
          </w:p>
        </w:tc>
        <w:tc>
          <w:tcPr>
            <w:tcW w:w="1091" w:type="dxa"/>
            <w:tcBorders>
              <w:top w:val="nil"/>
              <w:left w:val="nil"/>
              <w:bottom w:val="single" w:sz="8" w:space="0" w:color="BDD7EE"/>
              <w:right w:val="single" w:sz="8" w:space="0" w:color="BDD7EE"/>
            </w:tcBorders>
            <w:shd w:val="clear" w:color="auto" w:fill="auto"/>
            <w:noWrap/>
            <w:vAlign w:val="bottom"/>
            <w:hideMark/>
          </w:tcPr>
          <w:p w14:paraId="2638BD70"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78.596</w:t>
            </w:r>
          </w:p>
        </w:tc>
        <w:tc>
          <w:tcPr>
            <w:tcW w:w="912" w:type="dxa"/>
            <w:tcBorders>
              <w:top w:val="nil"/>
              <w:left w:val="nil"/>
              <w:bottom w:val="single" w:sz="8" w:space="0" w:color="BDD7EE"/>
              <w:right w:val="single" w:sz="8" w:space="0" w:color="BDD7EE"/>
            </w:tcBorders>
            <w:shd w:val="clear" w:color="auto" w:fill="auto"/>
            <w:noWrap/>
            <w:vAlign w:val="center"/>
            <w:hideMark/>
          </w:tcPr>
          <w:p w14:paraId="69C84A8D"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8,2</w:t>
            </w:r>
          </w:p>
        </w:tc>
        <w:tc>
          <w:tcPr>
            <w:tcW w:w="912" w:type="dxa"/>
            <w:tcBorders>
              <w:top w:val="nil"/>
              <w:left w:val="nil"/>
              <w:bottom w:val="single" w:sz="8" w:space="0" w:color="BDD7EE"/>
              <w:right w:val="single" w:sz="8" w:space="0" w:color="BDD7EE"/>
            </w:tcBorders>
            <w:shd w:val="clear" w:color="auto" w:fill="auto"/>
            <w:noWrap/>
            <w:vAlign w:val="center"/>
            <w:hideMark/>
          </w:tcPr>
          <w:p w14:paraId="43E0ED65"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17,3</w:t>
            </w:r>
          </w:p>
        </w:tc>
        <w:tc>
          <w:tcPr>
            <w:tcW w:w="1252" w:type="dxa"/>
            <w:tcBorders>
              <w:top w:val="nil"/>
              <w:left w:val="nil"/>
              <w:bottom w:val="single" w:sz="8" w:space="0" w:color="BDD7EE"/>
              <w:right w:val="single" w:sz="8" w:space="0" w:color="BDD7EE"/>
            </w:tcBorders>
            <w:shd w:val="clear" w:color="auto" w:fill="auto"/>
            <w:noWrap/>
            <w:vAlign w:val="center"/>
            <w:hideMark/>
          </w:tcPr>
          <w:p w14:paraId="2700244B" w14:textId="77777777" w:rsidR="004C5A0C" w:rsidRPr="00ED7B99" w:rsidRDefault="004C5A0C" w:rsidP="00D40B8E">
            <w:pPr>
              <w:spacing w:after="0" w:line="240" w:lineRule="auto"/>
              <w:jc w:val="right"/>
              <w:rPr>
                <w:rFonts w:asciiTheme="majorHAnsi" w:eastAsia="Times New Roman" w:hAnsiTheme="majorHAnsi" w:cstheme="majorHAnsi"/>
                <w:color w:val="000000"/>
                <w:sz w:val="18"/>
                <w:szCs w:val="18"/>
                <w:lang w:val="hr-HR" w:eastAsia="hr-HR"/>
              </w:rPr>
            </w:pPr>
            <w:r w:rsidRPr="00ED7B99">
              <w:rPr>
                <w:rFonts w:asciiTheme="majorHAnsi" w:eastAsia="Times New Roman" w:hAnsiTheme="majorHAnsi" w:cstheme="majorHAnsi"/>
                <w:color w:val="000000"/>
                <w:sz w:val="18"/>
                <w:szCs w:val="18"/>
                <w:lang w:val="hr-HR" w:eastAsia="hr-HR"/>
              </w:rPr>
              <w:t>25,6</w:t>
            </w:r>
          </w:p>
        </w:tc>
      </w:tr>
      <w:tr w:rsidR="004C5A0C" w:rsidRPr="00ED7B99" w14:paraId="4AF66DBB" w14:textId="77777777" w:rsidTr="00041B36">
        <w:trPr>
          <w:trHeight w:val="315"/>
        </w:trPr>
        <w:tc>
          <w:tcPr>
            <w:tcW w:w="1793" w:type="dxa"/>
            <w:tcBorders>
              <w:top w:val="nil"/>
              <w:left w:val="single" w:sz="8" w:space="0" w:color="BDD7EE"/>
              <w:bottom w:val="single" w:sz="8" w:space="0" w:color="BDD7EE"/>
              <w:right w:val="single" w:sz="8" w:space="0" w:color="BDD7EE"/>
            </w:tcBorders>
            <w:shd w:val="clear" w:color="000000" w:fill="DAEEF3"/>
            <w:vAlign w:val="center"/>
            <w:hideMark/>
          </w:tcPr>
          <w:p w14:paraId="1972591E" w14:textId="77777777" w:rsidR="004C5A0C" w:rsidRPr="00ED7B99" w:rsidRDefault="004C5A0C" w:rsidP="004C5A0C">
            <w:pPr>
              <w:spacing w:after="0" w:line="240" w:lineRule="auto"/>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Federacija BiH</w:t>
            </w:r>
          </w:p>
        </w:tc>
        <w:tc>
          <w:tcPr>
            <w:tcW w:w="717" w:type="dxa"/>
            <w:tcBorders>
              <w:top w:val="nil"/>
              <w:left w:val="nil"/>
              <w:bottom w:val="single" w:sz="8" w:space="0" w:color="BDD7EE"/>
              <w:right w:val="single" w:sz="8" w:space="0" w:color="BDD7EE"/>
            </w:tcBorders>
            <w:shd w:val="clear" w:color="000000" w:fill="DAEEF3"/>
            <w:vAlign w:val="center"/>
            <w:hideMark/>
          </w:tcPr>
          <w:p w14:paraId="52D19F33" w14:textId="77777777" w:rsidR="004C5A0C" w:rsidRPr="00ED7B99" w:rsidRDefault="004C5A0C" w:rsidP="00D40B8E">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18.990</w:t>
            </w:r>
          </w:p>
        </w:tc>
        <w:tc>
          <w:tcPr>
            <w:tcW w:w="626" w:type="dxa"/>
            <w:tcBorders>
              <w:top w:val="nil"/>
              <w:left w:val="nil"/>
              <w:bottom w:val="single" w:sz="8" w:space="0" w:color="BDD7EE"/>
              <w:right w:val="single" w:sz="8" w:space="0" w:color="BDD7EE"/>
            </w:tcBorders>
            <w:shd w:val="clear" w:color="000000" w:fill="DAEEF3"/>
            <w:vAlign w:val="center"/>
            <w:hideMark/>
          </w:tcPr>
          <w:p w14:paraId="4ED5566C" w14:textId="77777777" w:rsidR="004C5A0C" w:rsidRPr="00ED7B99" w:rsidRDefault="004C5A0C" w:rsidP="00D40B8E">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3.630</w:t>
            </w:r>
          </w:p>
        </w:tc>
        <w:tc>
          <w:tcPr>
            <w:tcW w:w="702" w:type="dxa"/>
            <w:tcBorders>
              <w:top w:val="nil"/>
              <w:left w:val="nil"/>
              <w:bottom w:val="single" w:sz="8" w:space="0" w:color="BDD7EE"/>
              <w:right w:val="single" w:sz="8" w:space="0" w:color="BDD7EE"/>
            </w:tcBorders>
            <w:shd w:val="clear" w:color="000000" w:fill="DAEEF3"/>
            <w:vAlign w:val="center"/>
            <w:hideMark/>
          </w:tcPr>
          <w:p w14:paraId="6961407A" w14:textId="77777777" w:rsidR="004C5A0C" w:rsidRPr="00ED7B99" w:rsidRDefault="004C5A0C" w:rsidP="00D40B8E">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919</w:t>
            </w:r>
          </w:p>
        </w:tc>
        <w:tc>
          <w:tcPr>
            <w:tcW w:w="717" w:type="dxa"/>
            <w:tcBorders>
              <w:top w:val="nil"/>
              <w:left w:val="nil"/>
              <w:bottom w:val="single" w:sz="8" w:space="0" w:color="BDD7EE"/>
              <w:right w:val="single" w:sz="8" w:space="0" w:color="BDD7EE"/>
            </w:tcBorders>
            <w:shd w:val="clear" w:color="000000" w:fill="DAEEF3"/>
            <w:vAlign w:val="center"/>
            <w:hideMark/>
          </w:tcPr>
          <w:p w14:paraId="52F380F4" w14:textId="77777777" w:rsidR="004C5A0C" w:rsidRPr="00ED7B99" w:rsidRDefault="004C5A0C" w:rsidP="00D40B8E">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53.188</w:t>
            </w:r>
          </w:p>
        </w:tc>
        <w:tc>
          <w:tcPr>
            <w:tcW w:w="835" w:type="dxa"/>
            <w:tcBorders>
              <w:top w:val="nil"/>
              <w:left w:val="nil"/>
              <w:bottom w:val="single" w:sz="8" w:space="0" w:color="BDD7EE"/>
              <w:right w:val="single" w:sz="8" w:space="0" w:color="BDD7EE"/>
            </w:tcBorders>
            <w:shd w:val="clear" w:color="000000" w:fill="DAEEF3"/>
            <w:vAlign w:val="center"/>
            <w:hideMark/>
          </w:tcPr>
          <w:p w14:paraId="62A6FB69" w14:textId="77777777" w:rsidR="004C5A0C" w:rsidRPr="00ED7B99" w:rsidRDefault="004C5A0C" w:rsidP="00D40B8E">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76.727</w:t>
            </w:r>
          </w:p>
        </w:tc>
        <w:tc>
          <w:tcPr>
            <w:tcW w:w="1091" w:type="dxa"/>
            <w:tcBorders>
              <w:top w:val="nil"/>
              <w:left w:val="nil"/>
              <w:bottom w:val="single" w:sz="8" w:space="0" w:color="BDD7EE"/>
              <w:right w:val="single" w:sz="8" w:space="0" w:color="BDD7EE"/>
            </w:tcBorders>
            <w:shd w:val="clear" w:color="000000" w:fill="DAEEF3"/>
            <w:vAlign w:val="center"/>
            <w:hideMark/>
          </w:tcPr>
          <w:p w14:paraId="3B07E521" w14:textId="77777777" w:rsidR="004C5A0C" w:rsidRPr="00ED7B99" w:rsidRDefault="004C5A0C" w:rsidP="00D40B8E">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2.168.602</w:t>
            </w:r>
          </w:p>
        </w:tc>
        <w:tc>
          <w:tcPr>
            <w:tcW w:w="912" w:type="dxa"/>
            <w:tcBorders>
              <w:top w:val="nil"/>
              <w:left w:val="nil"/>
              <w:bottom w:val="single" w:sz="8" w:space="0" w:color="BDD7EE"/>
              <w:right w:val="single" w:sz="8" w:space="0" w:color="BDD7EE"/>
            </w:tcBorders>
            <w:shd w:val="clear" w:color="000000" w:fill="DDEBF7"/>
            <w:noWrap/>
            <w:vAlign w:val="center"/>
            <w:hideMark/>
          </w:tcPr>
          <w:p w14:paraId="38EDF1BD" w14:textId="77777777" w:rsidR="004C5A0C" w:rsidRPr="00ED7B99" w:rsidRDefault="004C5A0C" w:rsidP="00D40B8E">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10,9</w:t>
            </w:r>
          </w:p>
        </w:tc>
        <w:tc>
          <w:tcPr>
            <w:tcW w:w="912" w:type="dxa"/>
            <w:tcBorders>
              <w:top w:val="nil"/>
              <w:left w:val="nil"/>
              <w:bottom w:val="single" w:sz="8" w:space="0" w:color="BDD7EE"/>
              <w:right w:val="single" w:sz="8" w:space="0" w:color="BDD7EE"/>
            </w:tcBorders>
            <w:shd w:val="clear" w:color="000000" w:fill="DDEBF7"/>
            <w:noWrap/>
            <w:vAlign w:val="center"/>
            <w:hideMark/>
          </w:tcPr>
          <w:p w14:paraId="1B5FB5D5" w14:textId="77777777" w:rsidR="004C5A0C" w:rsidRPr="00ED7B99" w:rsidRDefault="004C5A0C" w:rsidP="00D40B8E">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24,5</w:t>
            </w:r>
          </w:p>
        </w:tc>
        <w:tc>
          <w:tcPr>
            <w:tcW w:w="1252" w:type="dxa"/>
            <w:tcBorders>
              <w:top w:val="nil"/>
              <w:left w:val="nil"/>
              <w:bottom w:val="single" w:sz="8" w:space="0" w:color="BDD7EE"/>
              <w:right w:val="single" w:sz="8" w:space="0" w:color="BDD7EE"/>
            </w:tcBorders>
            <w:shd w:val="clear" w:color="000000" w:fill="DDEBF7"/>
            <w:noWrap/>
            <w:vAlign w:val="center"/>
            <w:hideMark/>
          </w:tcPr>
          <w:p w14:paraId="41CF5B82" w14:textId="77777777" w:rsidR="004C5A0C" w:rsidRPr="00ED7B99" w:rsidRDefault="004C5A0C" w:rsidP="00D40B8E">
            <w:pPr>
              <w:spacing w:after="0" w:line="240" w:lineRule="auto"/>
              <w:jc w:val="right"/>
              <w:rPr>
                <w:rFonts w:asciiTheme="majorHAnsi" w:eastAsia="Times New Roman" w:hAnsiTheme="majorHAnsi" w:cstheme="majorHAnsi"/>
                <w:b/>
                <w:bCs/>
                <w:color w:val="000000"/>
                <w:sz w:val="18"/>
                <w:szCs w:val="18"/>
                <w:lang w:val="hr-HR" w:eastAsia="hr-HR"/>
              </w:rPr>
            </w:pPr>
            <w:r w:rsidRPr="00ED7B99">
              <w:rPr>
                <w:rFonts w:asciiTheme="majorHAnsi" w:eastAsia="Times New Roman" w:hAnsiTheme="majorHAnsi" w:cstheme="majorHAnsi"/>
                <w:b/>
                <w:bCs/>
                <w:color w:val="000000"/>
                <w:sz w:val="18"/>
                <w:szCs w:val="18"/>
                <w:lang w:val="hr-HR" w:eastAsia="hr-HR"/>
              </w:rPr>
              <w:t>35,4</w:t>
            </w:r>
          </w:p>
        </w:tc>
      </w:tr>
    </w:tbl>
    <w:p w14:paraId="7DCFD516" w14:textId="77777777" w:rsidR="00F778EC" w:rsidRDefault="00F778EC" w:rsidP="00F778EC">
      <w:pPr>
        <w:rPr>
          <w:rFonts w:asciiTheme="majorHAnsi" w:hAnsiTheme="majorHAnsi" w:cstheme="majorHAnsi"/>
          <w:i/>
          <w:sz w:val="18"/>
          <w:szCs w:val="18"/>
        </w:rPr>
      </w:pPr>
      <w:r w:rsidRPr="00ED7B99">
        <w:rPr>
          <w:rFonts w:asciiTheme="majorHAnsi" w:hAnsiTheme="majorHAnsi" w:cstheme="majorHAnsi"/>
          <w:i/>
          <w:sz w:val="18"/>
          <w:szCs w:val="18"/>
        </w:rPr>
        <w:t>Izvor: BISNODE baza podataka; Federalni zavod za statistiku</w:t>
      </w:r>
    </w:p>
    <w:p w14:paraId="27EB18A7" w14:textId="165BC46C" w:rsidR="004C5A0C" w:rsidRPr="00ED7B99" w:rsidRDefault="00D712D8" w:rsidP="004C5A0C">
      <w:pPr>
        <w:jc w:val="both"/>
        <w:rPr>
          <w:rFonts w:asciiTheme="majorHAnsi" w:hAnsiTheme="majorHAnsi" w:cstheme="majorHAnsi"/>
        </w:rPr>
      </w:pPr>
      <w:r>
        <w:rPr>
          <w:rFonts w:asciiTheme="majorHAnsi" w:hAnsiTheme="majorHAnsi" w:cstheme="majorHAnsi"/>
        </w:rPr>
        <w:t>Broj MSP-a na 1.000 stanovnika u EU</w:t>
      </w:r>
      <w:r w:rsidR="00C558D9">
        <w:rPr>
          <w:rFonts w:asciiTheme="majorHAnsi" w:hAnsiTheme="majorHAnsi" w:cstheme="majorHAnsi"/>
        </w:rPr>
        <w:t xml:space="preserve"> kreće se u prosjeku od 50 MSP-a na 1.000 stanovnika, te je</w:t>
      </w:r>
      <w:r>
        <w:rPr>
          <w:rFonts w:asciiTheme="majorHAnsi" w:hAnsiTheme="majorHAnsi" w:cstheme="majorHAnsi"/>
        </w:rPr>
        <w:t xml:space="preserve"> u 2020. godini iznosio 50,3.</w:t>
      </w:r>
      <w:r w:rsidR="0026320D">
        <w:rPr>
          <w:rFonts w:asciiTheme="majorHAnsi" w:hAnsiTheme="majorHAnsi" w:cstheme="majorHAnsi"/>
        </w:rPr>
        <w:t xml:space="preserve"> Prema podacima iz 2021. godine Federacije Bi</w:t>
      </w:r>
      <w:r w:rsidR="00D40B8E">
        <w:rPr>
          <w:rFonts w:asciiTheme="majorHAnsi" w:hAnsiTheme="majorHAnsi" w:cstheme="majorHAnsi"/>
        </w:rPr>
        <w:t>H</w:t>
      </w:r>
      <w:r w:rsidR="0026320D">
        <w:rPr>
          <w:rFonts w:asciiTheme="majorHAnsi" w:hAnsiTheme="majorHAnsi" w:cstheme="majorHAnsi"/>
        </w:rPr>
        <w:t xml:space="preserve"> daleko je ispod EU prosjeka po broju MMSP-a na 1.000 stanovnika. Ukoliko se uzme broj mikro, malih i srednjih preduzeća na 1.000 stanovnika u Federaciji BiH, isti je iznosio 10,9 u 2021. godini. Sa druge strane, ukoliko se posmatraju obrtnici, broj obrta na 1.000 stanovnika u FBiH u 2021. godini iznosio je 24,5, što u konačnici dovidi do pokazatelja od 35,4 subjek</w:t>
      </w:r>
      <w:r w:rsidR="00D40B8E">
        <w:rPr>
          <w:rFonts w:asciiTheme="majorHAnsi" w:hAnsiTheme="majorHAnsi" w:cstheme="majorHAnsi"/>
        </w:rPr>
        <w:t>a</w:t>
      </w:r>
      <w:r w:rsidR="0026320D">
        <w:rPr>
          <w:rFonts w:asciiTheme="majorHAnsi" w:hAnsiTheme="majorHAnsi" w:cstheme="majorHAnsi"/>
        </w:rPr>
        <w:t xml:space="preserve">ta male privrede na 1.000 stanovnika u FBiH. </w:t>
      </w:r>
      <w:r w:rsidR="00D40B8E">
        <w:rPr>
          <w:rFonts w:asciiTheme="majorHAnsi" w:hAnsiTheme="majorHAnsi" w:cstheme="majorHAnsi"/>
        </w:rPr>
        <w:t xml:space="preserve">Najveći broj MMSP na 1.000 stanovnika u 2021. godini zabilježan je na području Kantona Sarajevo (19,1),  zatim na području </w:t>
      </w:r>
      <w:r w:rsidR="00D40B8E">
        <w:rPr>
          <w:rFonts w:asciiTheme="majorHAnsi" w:hAnsiTheme="majorHAnsi" w:cstheme="majorHAnsi"/>
        </w:rPr>
        <w:lastRenderedPageBreak/>
        <w:t xml:space="preserve">Zapadnohercegovačkog kantona (13,8) te Hercegovačko-neretvanskog kantona (12,4). Ukoliko se pak posmatra broj obrta na 1.000 stanovnika u FBiH, najveći broj u 2021. godini zabilježen je na području Hercegovačko-neretvanskog kantona u kojem je 31,6 obrtnik registrovan na 1.000 stanovnika. Ukoliko se pak posmatra ukupni broj subjekata male privrede (mikro, mala i srednja preduzeća i obrtnici) u 2021. godini najveći broj subjekata male privrede na 1.000 stanovnika zabilježen je na području Kantona Sarajevo (49,6 subjekata male privrede na 1.000 stanovnika), nakon čega slijedi Hercegovačko-neretvanski kanton (44 subjekta male privrede na 1.000 stanovnika), te Zapadno-hercegovački kanton (37.6 subjekata male privrede na 1.000 stanovnika) implicirajući da se radi o područjima sa najvišim poduzetničkim intenzitetom u Federaciji BiH. Najmanji broj subjekata male privrede na 1.000 stanovnika u 2021. godini zabilježen je na području Posavskog kantona u kojem je u 2021. godini zabilježen pokazatelj od 21,5 subjekata male privrede na 1.000 stanovnika. </w:t>
      </w:r>
    </w:p>
    <w:p w14:paraId="29798BB0" w14:textId="77777777" w:rsidR="004C5A0C" w:rsidRPr="00ED7B99" w:rsidRDefault="004C5A0C" w:rsidP="004C5A0C">
      <w:pPr>
        <w:keepNext/>
        <w:keepLines/>
        <w:spacing w:before="40" w:after="0"/>
        <w:ind w:left="1440" w:firstLine="1440"/>
        <w:outlineLvl w:val="2"/>
        <w:rPr>
          <w:rFonts w:asciiTheme="majorHAnsi" w:hAnsiTheme="majorHAnsi" w:cstheme="majorHAnsi"/>
          <w:b/>
          <w:color w:val="FF0000"/>
          <w:szCs w:val="24"/>
        </w:rPr>
      </w:pPr>
    </w:p>
    <w:p w14:paraId="36F0A213" w14:textId="551E6F63" w:rsidR="004C5A0C" w:rsidRPr="00ED7B99" w:rsidRDefault="005368B3" w:rsidP="004C5A0C">
      <w:pPr>
        <w:keepNext/>
        <w:keepLines/>
        <w:spacing w:before="40" w:after="0"/>
        <w:ind w:left="1440" w:firstLine="1440"/>
        <w:outlineLvl w:val="2"/>
        <w:rPr>
          <w:rFonts w:asciiTheme="majorHAnsi" w:hAnsiTheme="majorHAnsi" w:cstheme="majorHAnsi"/>
          <w:b/>
          <w:color w:val="7EB1E6" w:themeColor="accent3" w:themeTint="99"/>
          <w:szCs w:val="24"/>
        </w:rPr>
      </w:pPr>
      <w:bookmarkStart w:id="7" w:name="_Toc117458913"/>
      <w:r>
        <w:rPr>
          <w:rFonts w:asciiTheme="majorHAnsi" w:hAnsiTheme="majorHAnsi" w:cstheme="majorHAnsi"/>
          <w:b/>
          <w:color w:val="7EB1E6" w:themeColor="accent3" w:themeTint="99"/>
          <w:szCs w:val="24"/>
        </w:rPr>
        <w:t>2</w:t>
      </w:r>
      <w:r w:rsidR="004C5A0C" w:rsidRPr="00ED7B99">
        <w:rPr>
          <w:rFonts w:asciiTheme="majorHAnsi" w:hAnsiTheme="majorHAnsi" w:cstheme="majorHAnsi"/>
          <w:b/>
          <w:color w:val="7EB1E6" w:themeColor="accent3" w:themeTint="99"/>
          <w:szCs w:val="24"/>
        </w:rPr>
        <w:t>.1.5. Zaposlenost u maloj privredi u Federaciji BiH</w:t>
      </w:r>
      <w:bookmarkEnd w:id="7"/>
      <w:r w:rsidR="004C5A0C" w:rsidRPr="00ED7B99">
        <w:rPr>
          <w:rFonts w:asciiTheme="majorHAnsi" w:hAnsiTheme="majorHAnsi" w:cstheme="majorHAnsi"/>
          <w:b/>
          <w:color w:val="7EB1E6" w:themeColor="accent3" w:themeTint="99"/>
          <w:szCs w:val="24"/>
        </w:rPr>
        <w:t xml:space="preserve"> </w:t>
      </w:r>
    </w:p>
    <w:p w14:paraId="48868326" w14:textId="77777777" w:rsidR="004C5A0C" w:rsidRPr="00ED7B99" w:rsidRDefault="004C5A0C" w:rsidP="004C5A0C">
      <w:pPr>
        <w:keepNext/>
        <w:keepLines/>
        <w:spacing w:before="40" w:after="0"/>
        <w:outlineLvl w:val="2"/>
        <w:rPr>
          <w:rFonts w:asciiTheme="majorHAnsi" w:hAnsiTheme="majorHAnsi" w:cstheme="majorHAnsi"/>
          <w:b/>
          <w:color w:val="7EB1E6" w:themeColor="accent3" w:themeTint="99"/>
          <w:szCs w:val="24"/>
          <w:highlight w:val="yellow"/>
        </w:rPr>
      </w:pPr>
    </w:p>
    <w:p w14:paraId="334D7894" w14:textId="658CCF65" w:rsidR="00C558D9" w:rsidRDefault="00C558D9" w:rsidP="004C5A0C">
      <w:pPr>
        <w:jc w:val="both"/>
        <w:rPr>
          <w:rFonts w:asciiTheme="majorHAnsi" w:hAnsiTheme="majorHAnsi" w:cstheme="majorHAnsi"/>
        </w:rPr>
      </w:pPr>
      <w:r>
        <w:rPr>
          <w:rFonts w:asciiTheme="majorHAnsi" w:hAnsiTheme="majorHAnsi" w:cstheme="majorHAnsi"/>
        </w:rPr>
        <w:t xml:space="preserve">Mikro, mala i srednja preduzeća jedan su od najvećih generatora zaposlenja u Europskoj Uniji. Prema podacima Godišnjeg izvještaja EU o stanju MSP-a </w:t>
      </w:r>
      <w:r w:rsidRPr="005827F5">
        <w:rPr>
          <w:rFonts w:asciiTheme="majorHAnsi" w:hAnsiTheme="majorHAnsi" w:cstheme="majorHAnsi"/>
        </w:rPr>
        <w:t>odnosno SME Annual Report 2021/2021 ukupan</w:t>
      </w:r>
      <w:r>
        <w:rPr>
          <w:rFonts w:asciiTheme="majorHAnsi" w:hAnsiTheme="majorHAnsi" w:cstheme="majorHAnsi"/>
        </w:rPr>
        <w:t xml:space="preserve"> broj malih i srednjih preduzeća na području Europske Unije u 2020. godini iznosio je 22.526.457  od čega su 21.044.884 činila mikro preduzeća, 1.282.211 mala preduzeća i 199.362 srednja preduzeća, u kojima je bilo zaposleno 82.432.093 zaposlenih. Ukoliko se u obzir uzme podatak Federalnog zavoda za statistiku da je godišnji prosjek zaposlenih u FBiH u 2021. godni iznosio 520.162, možemo zaključiti da je od tog broja, 41% zaposlenih bilo zaposleno u mikro, malim i srednjim preduzećima Federacije BiH, izuzimajući broj obrta.</w:t>
      </w:r>
    </w:p>
    <w:p w14:paraId="2AA656BE" w14:textId="77777777" w:rsidR="00C558D9" w:rsidRDefault="00C558D9" w:rsidP="004C5A0C">
      <w:pPr>
        <w:jc w:val="both"/>
        <w:rPr>
          <w:rFonts w:asciiTheme="majorHAnsi" w:hAnsiTheme="majorHAnsi" w:cstheme="majorHAnsi"/>
        </w:rPr>
      </w:pPr>
    </w:p>
    <w:p w14:paraId="6B62373F" w14:textId="65FD3E5D" w:rsidR="004C5A0C" w:rsidRPr="00C558D9" w:rsidRDefault="00C558D9" w:rsidP="004C5A0C">
      <w:pPr>
        <w:jc w:val="both"/>
        <w:rPr>
          <w:rFonts w:asciiTheme="majorHAnsi" w:hAnsiTheme="majorHAnsi" w:cstheme="majorHAnsi"/>
        </w:rPr>
      </w:pPr>
      <w:r w:rsidRPr="00C558D9">
        <w:rPr>
          <w:rFonts w:asciiTheme="majorHAnsi" w:hAnsiTheme="majorHAnsi" w:cstheme="majorHAnsi"/>
        </w:rPr>
        <w:t xml:space="preserve">Nakon rasta broja zaposlenih u mikro, malim i srednjim preduzećima Federacije BiH u 2019. u odnosu na 2018. godinu, COVID 19 pandemija uzrokovala je značajan pad broja zaposlenih u ovom subjektima male privrede (Tabela 14.). </w:t>
      </w:r>
    </w:p>
    <w:p w14:paraId="1B5FBCAF" w14:textId="1D79AD2C" w:rsidR="00C558D9" w:rsidRDefault="00C558D9" w:rsidP="00C558D9">
      <w:pPr>
        <w:pStyle w:val="Caption"/>
        <w:keepNext/>
      </w:pPr>
      <w:r>
        <w:t xml:space="preserve">Tabela </w:t>
      </w:r>
      <w:fldSimple w:instr=" SEQ Tabela \* ARABIC ">
        <w:r w:rsidR="006A3335">
          <w:rPr>
            <w:noProof/>
          </w:rPr>
          <w:t>14</w:t>
        </w:r>
      </w:fldSimple>
      <w:r>
        <w:t xml:space="preserve">. </w:t>
      </w:r>
      <w:r w:rsidRPr="001837BA">
        <w:t>Broj zaposlenih u subjektima male privrede po kantonima</w:t>
      </w:r>
    </w:p>
    <w:tbl>
      <w:tblPr>
        <w:tblStyle w:val="GridTable1Light-Accent5"/>
        <w:tblW w:w="9300" w:type="dxa"/>
        <w:tblLayout w:type="fixed"/>
        <w:tblLook w:val="0400" w:firstRow="0" w:lastRow="0" w:firstColumn="0" w:lastColumn="0" w:noHBand="0" w:noVBand="1"/>
      </w:tblPr>
      <w:tblGrid>
        <w:gridCol w:w="2840"/>
        <w:gridCol w:w="1640"/>
        <w:gridCol w:w="1640"/>
        <w:gridCol w:w="1540"/>
        <w:gridCol w:w="1640"/>
      </w:tblGrid>
      <w:tr w:rsidR="004C5A0C" w:rsidRPr="00C558D9" w14:paraId="62CD1AD8" w14:textId="77777777" w:rsidTr="00C558D9">
        <w:trPr>
          <w:trHeight w:val="315"/>
        </w:trPr>
        <w:tc>
          <w:tcPr>
            <w:tcW w:w="2840" w:type="dxa"/>
            <w:shd w:val="clear" w:color="auto" w:fill="BCD9DE" w:themeFill="accent5" w:themeFillTint="66"/>
          </w:tcPr>
          <w:p w14:paraId="6F24D874" w14:textId="77777777" w:rsidR="004C5A0C" w:rsidRPr="00C558D9" w:rsidRDefault="004C5A0C" w:rsidP="004C5A0C">
            <w:pPr>
              <w:jc w:val="center"/>
              <w:rPr>
                <w:rFonts w:asciiTheme="majorHAnsi" w:hAnsiTheme="majorHAnsi" w:cstheme="majorHAnsi"/>
                <w:b/>
                <w:color w:val="000000"/>
                <w:sz w:val="20"/>
                <w:szCs w:val="20"/>
              </w:rPr>
            </w:pPr>
            <w:r w:rsidRPr="00C558D9">
              <w:rPr>
                <w:rFonts w:asciiTheme="majorHAnsi" w:hAnsiTheme="majorHAnsi" w:cstheme="majorHAnsi"/>
                <w:b/>
                <w:color w:val="000000"/>
                <w:sz w:val="20"/>
                <w:szCs w:val="20"/>
              </w:rPr>
              <w:t>Kanton</w:t>
            </w:r>
          </w:p>
        </w:tc>
        <w:tc>
          <w:tcPr>
            <w:tcW w:w="1640" w:type="dxa"/>
            <w:shd w:val="clear" w:color="auto" w:fill="BCD9DE" w:themeFill="accent5" w:themeFillTint="66"/>
          </w:tcPr>
          <w:p w14:paraId="7390BEC4" w14:textId="77777777" w:rsidR="004C5A0C" w:rsidRPr="00C558D9" w:rsidRDefault="004C5A0C" w:rsidP="004C5A0C">
            <w:pPr>
              <w:jc w:val="center"/>
              <w:rPr>
                <w:rFonts w:asciiTheme="majorHAnsi" w:hAnsiTheme="majorHAnsi" w:cstheme="majorHAnsi"/>
                <w:b/>
                <w:color w:val="000000"/>
                <w:sz w:val="20"/>
                <w:szCs w:val="20"/>
              </w:rPr>
            </w:pPr>
            <w:r w:rsidRPr="00C558D9">
              <w:rPr>
                <w:rFonts w:asciiTheme="majorHAnsi" w:hAnsiTheme="majorHAnsi" w:cstheme="majorHAnsi"/>
                <w:b/>
                <w:color w:val="000000"/>
                <w:sz w:val="20"/>
                <w:szCs w:val="20"/>
              </w:rPr>
              <w:t>2018</w:t>
            </w:r>
          </w:p>
        </w:tc>
        <w:tc>
          <w:tcPr>
            <w:tcW w:w="1640" w:type="dxa"/>
            <w:shd w:val="clear" w:color="auto" w:fill="BCD9DE" w:themeFill="accent5" w:themeFillTint="66"/>
          </w:tcPr>
          <w:p w14:paraId="12F3634F" w14:textId="77777777" w:rsidR="004C5A0C" w:rsidRPr="00C558D9" w:rsidRDefault="004C5A0C" w:rsidP="004C5A0C">
            <w:pPr>
              <w:jc w:val="center"/>
              <w:rPr>
                <w:rFonts w:asciiTheme="majorHAnsi" w:hAnsiTheme="majorHAnsi" w:cstheme="majorHAnsi"/>
                <w:b/>
                <w:color w:val="000000"/>
                <w:sz w:val="20"/>
                <w:szCs w:val="20"/>
              </w:rPr>
            </w:pPr>
            <w:r w:rsidRPr="00C558D9">
              <w:rPr>
                <w:rFonts w:asciiTheme="majorHAnsi" w:hAnsiTheme="majorHAnsi" w:cstheme="majorHAnsi"/>
                <w:b/>
                <w:color w:val="000000"/>
                <w:sz w:val="20"/>
                <w:szCs w:val="20"/>
              </w:rPr>
              <w:t>2019</w:t>
            </w:r>
          </w:p>
        </w:tc>
        <w:tc>
          <w:tcPr>
            <w:tcW w:w="1540" w:type="dxa"/>
            <w:shd w:val="clear" w:color="auto" w:fill="BCD9DE" w:themeFill="accent5" w:themeFillTint="66"/>
          </w:tcPr>
          <w:p w14:paraId="1E359C27" w14:textId="77777777" w:rsidR="004C5A0C" w:rsidRPr="00C558D9" w:rsidRDefault="004C5A0C" w:rsidP="004C5A0C">
            <w:pPr>
              <w:jc w:val="center"/>
              <w:rPr>
                <w:rFonts w:asciiTheme="majorHAnsi" w:hAnsiTheme="majorHAnsi" w:cstheme="majorHAnsi"/>
                <w:b/>
                <w:color w:val="000000"/>
                <w:sz w:val="20"/>
                <w:szCs w:val="20"/>
              </w:rPr>
            </w:pPr>
            <w:r w:rsidRPr="00C558D9">
              <w:rPr>
                <w:rFonts w:asciiTheme="majorHAnsi" w:hAnsiTheme="majorHAnsi" w:cstheme="majorHAnsi"/>
                <w:b/>
                <w:color w:val="000000"/>
                <w:sz w:val="20"/>
                <w:szCs w:val="20"/>
              </w:rPr>
              <w:t>2020</w:t>
            </w:r>
          </w:p>
        </w:tc>
        <w:tc>
          <w:tcPr>
            <w:tcW w:w="1640" w:type="dxa"/>
            <w:shd w:val="clear" w:color="auto" w:fill="BCD9DE" w:themeFill="accent5" w:themeFillTint="66"/>
          </w:tcPr>
          <w:p w14:paraId="09B43E77" w14:textId="77777777" w:rsidR="004C5A0C" w:rsidRPr="00C558D9" w:rsidRDefault="004C5A0C" w:rsidP="004C5A0C">
            <w:pPr>
              <w:jc w:val="center"/>
              <w:rPr>
                <w:rFonts w:asciiTheme="majorHAnsi" w:hAnsiTheme="majorHAnsi" w:cstheme="majorHAnsi"/>
                <w:b/>
                <w:color w:val="000000"/>
                <w:sz w:val="20"/>
                <w:szCs w:val="20"/>
              </w:rPr>
            </w:pPr>
            <w:r w:rsidRPr="00C558D9">
              <w:rPr>
                <w:rFonts w:asciiTheme="majorHAnsi" w:hAnsiTheme="majorHAnsi" w:cstheme="majorHAnsi"/>
                <w:b/>
                <w:color w:val="000000"/>
                <w:sz w:val="20"/>
                <w:szCs w:val="20"/>
              </w:rPr>
              <w:t>2021</w:t>
            </w:r>
          </w:p>
        </w:tc>
      </w:tr>
      <w:tr w:rsidR="004C5A0C" w:rsidRPr="00C558D9" w14:paraId="34437126" w14:textId="77777777" w:rsidTr="00C558D9">
        <w:trPr>
          <w:trHeight w:val="315"/>
        </w:trPr>
        <w:tc>
          <w:tcPr>
            <w:tcW w:w="2840" w:type="dxa"/>
          </w:tcPr>
          <w:p w14:paraId="718BB279"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Unsko sanski</w:t>
            </w:r>
          </w:p>
        </w:tc>
        <w:tc>
          <w:tcPr>
            <w:tcW w:w="1640" w:type="dxa"/>
          </w:tcPr>
          <w:p w14:paraId="174ABC47"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16.589 </w:t>
            </w:r>
          </w:p>
        </w:tc>
        <w:tc>
          <w:tcPr>
            <w:tcW w:w="1640" w:type="dxa"/>
          </w:tcPr>
          <w:p w14:paraId="2925AE0F"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16.684 </w:t>
            </w:r>
          </w:p>
        </w:tc>
        <w:tc>
          <w:tcPr>
            <w:tcW w:w="1540" w:type="dxa"/>
          </w:tcPr>
          <w:p w14:paraId="25934D1E"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15.640 </w:t>
            </w:r>
          </w:p>
        </w:tc>
        <w:tc>
          <w:tcPr>
            <w:tcW w:w="1640" w:type="dxa"/>
          </w:tcPr>
          <w:p w14:paraId="1F023F4F"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15.971 </w:t>
            </w:r>
          </w:p>
        </w:tc>
      </w:tr>
      <w:tr w:rsidR="004C5A0C" w:rsidRPr="00C558D9" w14:paraId="1ECA09D4" w14:textId="77777777" w:rsidTr="00C558D9">
        <w:trPr>
          <w:trHeight w:val="315"/>
        </w:trPr>
        <w:tc>
          <w:tcPr>
            <w:tcW w:w="2840" w:type="dxa"/>
          </w:tcPr>
          <w:p w14:paraId="1A58822B"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Posavski</w:t>
            </w:r>
          </w:p>
        </w:tc>
        <w:tc>
          <w:tcPr>
            <w:tcW w:w="1640" w:type="dxa"/>
          </w:tcPr>
          <w:p w14:paraId="50866A69"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3.198 </w:t>
            </w:r>
          </w:p>
        </w:tc>
        <w:tc>
          <w:tcPr>
            <w:tcW w:w="1640" w:type="dxa"/>
          </w:tcPr>
          <w:p w14:paraId="4FAD203A"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3.249 </w:t>
            </w:r>
          </w:p>
        </w:tc>
        <w:tc>
          <w:tcPr>
            <w:tcW w:w="1540" w:type="dxa"/>
          </w:tcPr>
          <w:p w14:paraId="3FBA21FE"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3.013 </w:t>
            </w:r>
          </w:p>
        </w:tc>
        <w:tc>
          <w:tcPr>
            <w:tcW w:w="1640" w:type="dxa"/>
          </w:tcPr>
          <w:p w14:paraId="62B6EDB4"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2.932 </w:t>
            </w:r>
          </w:p>
        </w:tc>
      </w:tr>
      <w:tr w:rsidR="004C5A0C" w:rsidRPr="00C558D9" w14:paraId="65268704" w14:textId="77777777" w:rsidTr="00C558D9">
        <w:trPr>
          <w:trHeight w:val="315"/>
        </w:trPr>
        <w:tc>
          <w:tcPr>
            <w:tcW w:w="2840" w:type="dxa"/>
          </w:tcPr>
          <w:p w14:paraId="47E7D206"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Tuzlanski</w:t>
            </w:r>
          </w:p>
        </w:tc>
        <w:tc>
          <w:tcPr>
            <w:tcW w:w="1640" w:type="dxa"/>
          </w:tcPr>
          <w:p w14:paraId="2370F903"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40.467 </w:t>
            </w:r>
          </w:p>
        </w:tc>
        <w:tc>
          <w:tcPr>
            <w:tcW w:w="1640" w:type="dxa"/>
          </w:tcPr>
          <w:p w14:paraId="400DB0D8"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42.233 </w:t>
            </w:r>
          </w:p>
        </w:tc>
        <w:tc>
          <w:tcPr>
            <w:tcW w:w="1540" w:type="dxa"/>
          </w:tcPr>
          <w:p w14:paraId="6846369E"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41.130 </w:t>
            </w:r>
          </w:p>
        </w:tc>
        <w:tc>
          <w:tcPr>
            <w:tcW w:w="1640" w:type="dxa"/>
          </w:tcPr>
          <w:p w14:paraId="68AA37AB"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41.242 </w:t>
            </w:r>
          </w:p>
        </w:tc>
      </w:tr>
      <w:tr w:rsidR="004C5A0C" w:rsidRPr="00C558D9" w14:paraId="75F3397D" w14:textId="77777777" w:rsidTr="00C558D9">
        <w:trPr>
          <w:trHeight w:val="315"/>
        </w:trPr>
        <w:tc>
          <w:tcPr>
            <w:tcW w:w="2840" w:type="dxa"/>
          </w:tcPr>
          <w:p w14:paraId="121693E0"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Zeničko dobojski</w:t>
            </w:r>
          </w:p>
        </w:tc>
        <w:tc>
          <w:tcPr>
            <w:tcW w:w="1640" w:type="dxa"/>
          </w:tcPr>
          <w:p w14:paraId="0733AFAD"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33.265 </w:t>
            </w:r>
          </w:p>
        </w:tc>
        <w:tc>
          <w:tcPr>
            <w:tcW w:w="1640" w:type="dxa"/>
          </w:tcPr>
          <w:p w14:paraId="64E73545"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34.529 </w:t>
            </w:r>
          </w:p>
        </w:tc>
        <w:tc>
          <w:tcPr>
            <w:tcW w:w="1540" w:type="dxa"/>
          </w:tcPr>
          <w:p w14:paraId="14F38577"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34.252 </w:t>
            </w:r>
          </w:p>
        </w:tc>
        <w:tc>
          <w:tcPr>
            <w:tcW w:w="1640" w:type="dxa"/>
          </w:tcPr>
          <w:p w14:paraId="5D53E133"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34.151 </w:t>
            </w:r>
          </w:p>
        </w:tc>
      </w:tr>
      <w:tr w:rsidR="004C5A0C" w:rsidRPr="00C558D9" w14:paraId="12404816" w14:textId="77777777" w:rsidTr="00C558D9">
        <w:trPr>
          <w:trHeight w:val="315"/>
        </w:trPr>
        <w:tc>
          <w:tcPr>
            <w:tcW w:w="2840" w:type="dxa"/>
          </w:tcPr>
          <w:p w14:paraId="0EF17A0F"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Bosansko - podrinjski</w:t>
            </w:r>
          </w:p>
        </w:tc>
        <w:tc>
          <w:tcPr>
            <w:tcW w:w="1640" w:type="dxa"/>
          </w:tcPr>
          <w:p w14:paraId="60E4387C"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2.403 </w:t>
            </w:r>
          </w:p>
        </w:tc>
        <w:tc>
          <w:tcPr>
            <w:tcW w:w="1640" w:type="dxa"/>
          </w:tcPr>
          <w:p w14:paraId="2E57DF3D"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2.217 </w:t>
            </w:r>
          </w:p>
        </w:tc>
        <w:tc>
          <w:tcPr>
            <w:tcW w:w="1540" w:type="dxa"/>
          </w:tcPr>
          <w:p w14:paraId="7C1BFA1A"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2.193 </w:t>
            </w:r>
          </w:p>
        </w:tc>
        <w:tc>
          <w:tcPr>
            <w:tcW w:w="1640" w:type="dxa"/>
          </w:tcPr>
          <w:p w14:paraId="5856BA92"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2.162 </w:t>
            </w:r>
          </w:p>
        </w:tc>
      </w:tr>
      <w:tr w:rsidR="004C5A0C" w:rsidRPr="00C558D9" w14:paraId="2A465056" w14:textId="77777777" w:rsidTr="00C558D9">
        <w:trPr>
          <w:trHeight w:val="315"/>
        </w:trPr>
        <w:tc>
          <w:tcPr>
            <w:tcW w:w="2840" w:type="dxa"/>
          </w:tcPr>
          <w:p w14:paraId="471A2DB0"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Srednjobosanski</w:t>
            </w:r>
          </w:p>
        </w:tc>
        <w:tc>
          <w:tcPr>
            <w:tcW w:w="1640" w:type="dxa"/>
          </w:tcPr>
          <w:p w14:paraId="52578D88"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20.630 </w:t>
            </w:r>
          </w:p>
        </w:tc>
        <w:tc>
          <w:tcPr>
            <w:tcW w:w="1640" w:type="dxa"/>
          </w:tcPr>
          <w:p w14:paraId="03DD7706"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21.042 </w:t>
            </w:r>
          </w:p>
        </w:tc>
        <w:tc>
          <w:tcPr>
            <w:tcW w:w="1540" w:type="dxa"/>
          </w:tcPr>
          <w:p w14:paraId="622BC1C6"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21.619 </w:t>
            </w:r>
          </w:p>
        </w:tc>
        <w:tc>
          <w:tcPr>
            <w:tcW w:w="1640" w:type="dxa"/>
          </w:tcPr>
          <w:p w14:paraId="43B5A34B"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20.186 </w:t>
            </w:r>
          </w:p>
        </w:tc>
      </w:tr>
      <w:tr w:rsidR="004C5A0C" w:rsidRPr="00C558D9" w14:paraId="71FF0D06" w14:textId="77777777" w:rsidTr="00C558D9">
        <w:trPr>
          <w:trHeight w:val="315"/>
        </w:trPr>
        <w:tc>
          <w:tcPr>
            <w:tcW w:w="2840" w:type="dxa"/>
          </w:tcPr>
          <w:p w14:paraId="6684AFC8"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Hercegovačko - neretvanski</w:t>
            </w:r>
          </w:p>
        </w:tc>
        <w:tc>
          <w:tcPr>
            <w:tcW w:w="1640" w:type="dxa"/>
          </w:tcPr>
          <w:p w14:paraId="0B5882DF"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22.264 </w:t>
            </w:r>
          </w:p>
        </w:tc>
        <w:tc>
          <w:tcPr>
            <w:tcW w:w="1640" w:type="dxa"/>
          </w:tcPr>
          <w:p w14:paraId="5DA1581D"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22.838 </w:t>
            </w:r>
          </w:p>
        </w:tc>
        <w:tc>
          <w:tcPr>
            <w:tcW w:w="1540" w:type="dxa"/>
          </w:tcPr>
          <w:p w14:paraId="11BE25BB"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21.805 </w:t>
            </w:r>
          </w:p>
        </w:tc>
        <w:tc>
          <w:tcPr>
            <w:tcW w:w="1640" w:type="dxa"/>
          </w:tcPr>
          <w:p w14:paraId="46BA3E91"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21.108 </w:t>
            </w:r>
          </w:p>
        </w:tc>
      </w:tr>
      <w:tr w:rsidR="004C5A0C" w:rsidRPr="00C558D9" w14:paraId="0E3FAE43" w14:textId="77777777" w:rsidTr="00C558D9">
        <w:trPr>
          <w:trHeight w:val="315"/>
        </w:trPr>
        <w:tc>
          <w:tcPr>
            <w:tcW w:w="2840" w:type="dxa"/>
          </w:tcPr>
          <w:p w14:paraId="60A3A2E7"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Zapadnohercegovački</w:t>
            </w:r>
          </w:p>
        </w:tc>
        <w:tc>
          <w:tcPr>
            <w:tcW w:w="1640" w:type="dxa"/>
          </w:tcPr>
          <w:p w14:paraId="00AD5E59"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11.922 </w:t>
            </w:r>
          </w:p>
        </w:tc>
        <w:tc>
          <w:tcPr>
            <w:tcW w:w="1640" w:type="dxa"/>
          </w:tcPr>
          <w:p w14:paraId="16093B6D"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12.270 </w:t>
            </w:r>
          </w:p>
        </w:tc>
        <w:tc>
          <w:tcPr>
            <w:tcW w:w="1540" w:type="dxa"/>
          </w:tcPr>
          <w:p w14:paraId="7B3975D3"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11.359 </w:t>
            </w:r>
          </w:p>
        </w:tc>
        <w:tc>
          <w:tcPr>
            <w:tcW w:w="1640" w:type="dxa"/>
          </w:tcPr>
          <w:p w14:paraId="666A11F4"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11.401 </w:t>
            </w:r>
          </w:p>
        </w:tc>
      </w:tr>
      <w:tr w:rsidR="004C5A0C" w:rsidRPr="00C558D9" w14:paraId="1AA7F25D" w14:textId="77777777" w:rsidTr="00C558D9">
        <w:trPr>
          <w:trHeight w:val="315"/>
        </w:trPr>
        <w:tc>
          <w:tcPr>
            <w:tcW w:w="2840" w:type="dxa"/>
          </w:tcPr>
          <w:p w14:paraId="3C0CF40A"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Kanton Sarajevo</w:t>
            </w:r>
          </w:p>
        </w:tc>
        <w:tc>
          <w:tcPr>
            <w:tcW w:w="1640" w:type="dxa"/>
          </w:tcPr>
          <w:p w14:paraId="57FB0A35"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61.816 </w:t>
            </w:r>
          </w:p>
        </w:tc>
        <w:tc>
          <w:tcPr>
            <w:tcW w:w="1640" w:type="dxa"/>
          </w:tcPr>
          <w:p w14:paraId="54C386A4"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64.164 </w:t>
            </w:r>
          </w:p>
        </w:tc>
        <w:tc>
          <w:tcPr>
            <w:tcW w:w="1540" w:type="dxa"/>
          </w:tcPr>
          <w:p w14:paraId="6C11374A"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60.987 </w:t>
            </w:r>
          </w:p>
        </w:tc>
        <w:tc>
          <w:tcPr>
            <w:tcW w:w="1640" w:type="dxa"/>
          </w:tcPr>
          <w:p w14:paraId="6B82F96E"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59.823 </w:t>
            </w:r>
          </w:p>
        </w:tc>
      </w:tr>
      <w:tr w:rsidR="004C5A0C" w:rsidRPr="00C558D9" w14:paraId="76AFFAB9" w14:textId="77777777" w:rsidTr="00C558D9">
        <w:trPr>
          <w:trHeight w:val="315"/>
        </w:trPr>
        <w:tc>
          <w:tcPr>
            <w:tcW w:w="2840" w:type="dxa"/>
          </w:tcPr>
          <w:p w14:paraId="3809A7F0" w14:textId="77777777" w:rsidR="004C5A0C" w:rsidRPr="00C558D9" w:rsidRDefault="004C5A0C" w:rsidP="004C5A0C">
            <w:pPr>
              <w:rPr>
                <w:rFonts w:asciiTheme="majorHAnsi" w:hAnsiTheme="majorHAnsi" w:cstheme="majorHAnsi"/>
                <w:bCs/>
                <w:color w:val="000000"/>
                <w:sz w:val="20"/>
                <w:szCs w:val="20"/>
              </w:rPr>
            </w:pPr>
            <w:r w:rsidRPr="00C558D9">
              <w:rPr>
                <w:rFonts w:asciiTheme="majorHAnsi" w:hAnsiTheme="majorHAnsi" w:cstheme="majorHAnsi"/>
                <w:bCs/>
                <w:color w:val="000000"/>
                <w:sz w:val="20"/>
                <w:szCs w:val="20"/>
              </w:rPr>
              <w:t>K10</w:t>
            </w:r>
          </w:p>
        </w:tc>
        <w:tc>
          <w:tcPr>
            <w:tcW w:w="1640" w:type="dxa"/>
          </w:tcPr>
          <w:p w14:paraId="657C66F8"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4.706 </w:t>
            </w:r>
          </w:p>
        </w:tc>
        <w:tc>
          <w:tcPr>
            <w:tcW w:w="1640" w:type="dxa"/>
          </w:tcPr>
          <w:p w14:paraId="70872E8E"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4.826 </w:t>
            </w:r>
          </w:p>
        </w:tc>
        <w:tc>
          <w:tcPr>
            <w:tcW w:w="1540" w:type="dxa"/>
          </w:tcPr>
          <w:p w14:paraId="0D11DE19"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4.590 </w:t>
            </w:r>
          </w:p>
        </w:tc>
        <w:tc>
          <w:tcPr>
            <w:tcW w:w="1640" w:type="dxa"/>
          </w:tcPr>
          <w:p w14:paraId="018216C3" w14:textId="77777777" w:rsidR="004C5A0C" w:rsidRPr="00C558D9" w:rsidRDefault="004C5A0C" w:rsidP="004C5A0C">
            <w:pPr>
              <w:jc w:val="right"/>
              <w:rPr>
                <w:rFonts w:asciiTheme="majorHAnsi" w:hAnsiTheme="majorHAnsi" w:cstheme="majorHAnsi"/>
                <w:sz w:val="20"/>
                <w:szCs w:val="20"/>
              </w:rPr>
            </w:pPr>
            <w:r w:rsidRPr="00C558D9">
              <w:rPr>
                <w:rFonts w:asciiTheme="majorHAnsi" w:eastAsia="Arial Unicode MS" w:hAnsiTheme="majorHAnsi" w:cstheme="majorHAnsi"/>
                <w:kern w:val="24"/>
                <w:sz w:val="20"/>
                <w:szCs w:val="20"/>
              </w:rPr>
              <w:t xml:space="preserve">4.483 </w:t>
            </w:r>
          </w:p>
        </w:tc>
      </w:tr>
      <w:tr w:rsidR="004C5A0C" w:rsidRPr="00C558D9" w14:paraId="479A822D" w14:textId="77777777" w:rsidTr="00C558D9">
        <w:trPr>
          <w:trHeight w:val="315"/>
        </w:trPr>
        <w:tc>
          <w:tcPr>
            <w:tcW w:w="2840" w:type="dxa"/>
            <w:shd w:val="clear" w:color="auto" w:fill="BCD9DE" w:themeFill="accent5" w:themeFillTint="66"/>
          </w:tcPr>
          <w:p w14:paraId="58327AC6" w14:textId="77777777" w:rsidR="004C5A0C" w:rsidRPr="00C558D9" w:rsidRDefault="004C5A0C" w:rsidP="004C5A0C">
            <w:pPr>
              <w:rPr>
                <w:rFonts w:asciiTheme="majorHAnsi" w:hAnsiTheme="majorHAnsi" w:cstheme="majorHAnsi"/>
                <w:b/>
                <w:color w:val="000000"/>
                <w:sz w:val="20"/>
                <w:szCs w:val="20"/>
              </w:rPr>
            </w:pPr>
            <w:r w:rsidRPr="00C558D9">
              <w:rPr>
                <w:rFonts w:asciiTheme="majorHAnsi" w:hAnsiTheme="majorHAnsi" w:cstheme="majorHAnsi"/>
                <w:bCs/>
                <w:color w:val="000000"/>
                <w:sz w:val="20"/>
                <w:szCs w:val="20"/>
              </w:rPr>
              <w:t>Federacija BiH</w:t>
            </w:r>
          </w:p>
        </w:tc>
        <w:tc>
          <w:tcPr>
            <w:tcW w:w="1640" w:type="dxa"/>
            <w:shd w:val="clear" w:color="auto" w:fill="BCD9DE" w:themeFill="accent5" w:themeFillTint="66"/>
          </w:tcPr>
          <w:p w14:paraId="239CF525" w14:textId="77777777" w:rsidR="004C5A0C" w:rsidRPr="00C558D9" w:rsidRDefault="004C5A0C" w:rsidP="004C5A0C">
            <w:pPr>
              <w:jc w:val="right"/>
              <w:rPr>
                <w:rFonts w:asciiTheme="majorHAnsi" w:hAnsiTheme="majorHAnsi" w:cstheme="majorHAnsi"/>
                <w:b/>
                <w:bCs/>
                <w:sz w:val="20"/>
                <w:szCs w:val="20"/>
              </w:rPr>
            </w:pPr>
            <w:r w:rsidRPr="00C558D9">
              <w:rPr>
                <w:rFonts w:asciiTheme="majorHAnsi" w:eastAsia="Arial Unicode MS" w:hAnsiTheme="majorHAnsi" w:cstheme="majorHAnsi"/>
                <w:b/>
                <w:bCs/>
                <w:kern w:val="24"/>
                <w:sz w:val="20"/>
                <w:szCs w:val="20"/>
              </w:rPr>
              <w:t>217.260</w:t>
            </w:r>
          </w:p>
        </w:tc>
        <w:tc>
          <w:tcPr>
            <w:tcW w:w="1640" w:type="dxa"/>
            <w:shd w:val="clear" w:color="auto" w:fill="BCD9DE" w:themeFill="accent5" w:themeFillTint="66"/>
          </w:tcPr>
          <w:p w14:paraId="57753F8B" w14:textId="77777777" w:rsidR="004C5A0C" w:rsidRPr="00C558D9" w:rsidRDefault="004C5A0C" w:rsidP="004C5A0C">
            <w:pPr>
              <w:jc w:val="right"/>
              <w:rPr>
                <w:rFonts w:asciiTheme="majorHAnsi" w:hAnsiTheme="majorHAnsi" w:cstheme="majorHAnsi"/>
                <w:b/>
                <w:bCs/>
                <w:sz w:val="20"/>
                <w:szCs w:val="20"/>
              </w:rPr>
            </w:pPr>
            <w:r w:rsidRPr="00C558D9">
              <w:rPr>
                <w:rFonts w:asciiTheme="majorHAnsi" w:eastAsia="Arial Unicode MS" w:hAnsiTheme="majorHAnsi" w:cstheme="majorHAnsi"/>
                <w:b/>
                <w:bCs/>
                <w:kern w:val="24"/>
                <w:sz w:val="20"/>
                <w:szCs w:val="20"/>
              </w:rPr>
              <w:t>224.052</w:t>
            </w:r>
          </w:p>
        </w:tc>
        <w:tc>
          <w:tcPr>
            <w:tcW w:w="1540" w:type="dxa"/>
            <w:shd w:val="clear" w:color="auto" w:fill="BCD9DE" w:themeFill="accent5" w:themeFillTint="66"/>
          </w:tcPr>
          <w:p w14:paraId="48138CB0" w14:textId="77777777" w:rsidR="004C5A0C" w:rsidRPr="00C558D9" w:rsidRDefault="004C5A0C" w:rsidP="004C5A0C">
            <w:pPr>
              <w:jc w:val="right"/>
              <w:rPr>
                <w:rFonts w:asciiTheme="majorHAnsi" w:hAnsiTheme="majorHAnsi" w:cstheme="majorHAnsi"/>
                <w:b/>
                <w:bCs/>
                <w:sz w:val="20"/>
                <w:szCs w:val="20"/>
              </w:rPr>
            </w:pPr>
            <w:r w:rsidRPr="00C558D9">
              <w:rPr>
                <w:rFonts w:asciiTheme="majorHAnsi" w:eastAsia="Arial Unicode MS" w:hAnsiTheme="majorHAnsi" w:cstheme="majorHAnsi"/>
                <w:b/>
                <w:bCs/>
                <w:kern w:val="24"/>
                <w:sz w:val="20"/>
                <w:szCs w:val="20"/>
              </w:rPr>
              <w:t>216.588</w:t>
            </w:r>
          </w:p>
        </w:tc>
        <w:tc>
          <w:tcPr>
            <w:tcW w:w="1640" w:type="dxa"/>
            <w:shd w:val="clear" w:color="auto" w:fill="BCD9DE" w:themeFill="accent5" w:themeFillTint="66"/>
          </w:tcPr>
          <w:p w14:paraId="310929EF" w14:textId="77777777" w:rsidR="004C5A0C" w:rsidRPr="00C558D9" w:rsidRDefault="004C5A0C" w:rsidP="004C5A0C">
            <w:pPr>
              <w:jc w:val="right"/>
              <w:rPr>
                <w:rFonts w:asciiTheme="majorHAnsi" w:hAnsiTheme="majorHAnsi" w:cstheme="majorHAnsi"/>
                <w:b/>
                <w:bCs/>
                <w:sz w:val="20"/>
                <w:szCs w:val="20"/>
              </w:rPr>
            </w:pPr>
            <w:r w:rsidRPr="00C558D9">
              <w:rPr>
                <w:rFonts w:asciiTheme="majorHAnsi" w:eastAsia="Arial Unicode MS" w:hAnsiTheme="majorHAnsi" w:cstheme="majorHAnsi"/>
                <w:b/>
                <w:bCs/>
                <w:kern w:val="24"/>
                <w:sz w:val="20"/>
                <w:szCs w:val="20"/>
              </w:rPr>
              <w:t>213.459</w:t>
            </w:r>
          </w:p>
        </w:tc>
      </w:tr>
    </w:tbl>
    <w:p w14:paraId="292EB13E" w14:textId="53FB026A" w:rsidR="00F778EC" w:rsidRDefault="00F778EC" w:rsidP="00F778EC">
      <w:pPr>
        <w:rPr>
          <w:rFonts w:asciiTheme="majorHAnsi" w:hAnsiTheme="majorHAnsi" w:cstheme="majorHAnsi"/>
          <w:i/>
          <w:sz w:val="18"/>
          <w:szCs w:val="18"/>
        </w:rPr>
      </w:pPr>
      <w:r w:rsidRPr="00ED7B99">
        <w:rPr>
          <w:rFonts w:asciiTheme="majorHAnsi" w:hAnsiTheme="majorHAnsi" w:cstheme="majorHAnsi"/>
          <w:i/>
          <w:sz w:val="18"/>
          <w:szCs w:val="18"/>
        </w:rPr>
        <w:t>Izvor: BISNODE baza podataka</w:t>
      </w:r>
    </w:p>
    <w:p w14:paraId="223B4047" w14:textId="6AABD107" w:rsidR="00C558D9" w:rsidRDefault="00C558D9" w:rsidP="00CB5ED4">
      <w:pPr>
        <w:jc w:val="both"/>
        <w:rPr>
          <w:rFonts w:asciiTheme="majorHAnsi" w:hAnsiTheme="majorHAnsi" w:cstheme="majorHAnsi"/>
        </w:rPr>
      </w:pPr>
      <w:r w:rsidRPr="00C558D9">
        <w:rPr>
          <w:rFonts w:asciiTheme="majorHAnsi" w:hAnsiTheme="majorHAnsi" w:cstheme="majorHAnsi"/>
        </w:rPr>
        <w:t>U odnosu na broj zaposlenih u MMSP u Federaciji BiH u 2019. godini koji je iznosio 224.052 ovaj broj se smanjio za 7.464, a u  2021. godini u odnosu na 2019. godin</w:t>
      </w:r>
      <w:r>
        <w:rPr>
          <w:rFonts w:asciiTheme="majorHAnsi" w:hAnsiTheme="majorHAnsi" w:cstheme="majorHAnsi"/>
        </w:rPr>
        <w:t>u</w:t>
      </w:r>
      <w:r w:rsidRPr="00C558D9">
        <w:rPr>
          <w:rFonts w:asciiTheme="majorHAnsi" w:hAnsiTheme="majorHAnsi" w:cstheme="majorHAnsi"/>
        </w:rPr>
        <w:t xml:space="preserve"> za v iše od 10.000 </w:t>
      </w:r>
      <w:r w:rsidRPr="00C558D9">
        <w:rPr>
          <w:rFonts w:asciiTheme="majorHAnsi" w:hAnsiTheme="majorHAnsi" w:cstheme="majorHAnsi"/>
        </w:rPr>
        <w:lastRenderedPageBreak/>
        <w:t>zaposlenih odnosno 10.593 zaposlenih manje u odnosu na 2019. godinu</w:t>
      </w:r>
      <w:r>
        <w:rPr>
          <w:rFonts w:asciiTheme="majorHAnsi" w:hAnsiTheme="majorHAnsi" w:cstheme="majorHAnsi"/>
        </w:rPr>
        <w:t xml:space="preserve">, implciirajući da su se negativne posljedice COVID 19 pandemije i dalje osjetile </w:t>
      </w:r>
      <w:r w:rsidR="00CB5ED4">
        <w:rPr>
          <w:rFonts w:asciiTheme="majorHAnsi" w:hAnsiTheme="majorHAnsi" w:cstheme="majorHAnsi"/>
        </w:rPr>
        <w:t xml:space="preserve">u 2021. godini, naročito u kontekstu broja zaposlenih u MMSP, posebno ako se uzme u obzir da je broj ovih subjekata male privrede rastao u posmatranom perodu. Od ukupnog broja zaposlenih u MMSP FBiH najveći broj je zabilježen u MMSP na području Kantona Sarajevo (59.823 u 2021. godini ili 28% ukupnog broja zaposlenih u MMSP FBiH u 2021. godini), dok je najmanje broj zaposlenih u MMSP u 2021. godini zabilježn u BPK – 2.162 zaposlena u MMSP u 2021. godini ili 1,01% ukupnog broja zaposlenih u MMSP FBiH, </w:t>
      </w:r>
    </w:p>
    <w:p w14:paraId="1F035F08" w14:textId="218F698F" w:rsidR="00CB5ED4" w:rsidRDefault="002C5B08" w:rsidP="002C5B08">
      <w:pPr>
        <w:jc w:val="both"/>
        <w:rPr>
          <w:rFonts w:asciiTheme="majorHAnsi" w:hAnsiTheme="majorHAnsi" w:cstheme="majorHAnsi"/>
        </w:rPr>
      </w:pPr>
      <w:r>
        <w:rPr>
          <w:rFonts w:asciiTheme="majorHAnsi" w:hAnsiTheme="majorHAnsi" w:cstheme="majorHAnsi"/>
        </w:rPr>
        <w:t>I dok se broj zaposlenih u MMSP Federacije BiH kontinuirano smanjivao od 2019. godine, stepen zaposlenosti se u FBiH</w:t>
      </w:r>
      <w:r w:rsidR="00683004">
        <w:rPr>
          <w:rFonts w:asciiTheme="majorHAnsi" w:hAnsiTheme="majorHAnsi" w:cstheme="majorHAnsi"/>
        </w:rPr>
        <w:t>, kao što je ranije prikazano,</w:t>
      </w:r>
      <w:r>
        <w:rPr>
          <w:rFonts w:asciiTheme="majorHAnsi" w:hAnsiTheme="majorHAnsi" w:cstheme="majorHAnsi"/>
        </w:rPr>
        <w:t xml:space="preserve"> nakon pada u 2020. godini kada je iznosio 34,4% povećao na 35% u 2021. godini implicirajući da su se zaposlenici iz MMSP zaposlili u drugim privrednim, javnim i drugim subjektima odnosno da su pronašli drugu opciju zaposlenja.</w:t>
      </w:r>
    </w:p>
    <w:p w14:paraId="3C477E6E" w14:textId="0E40D9FC" w:rsidR="004C5A0C" w:rsidRPr="00ED7B99" w:rsidRDefault="005368B3" w:rsidP="004C5A0C">
      <w:pPr>
        <w:keepNext/>
        <w:keepLines/>
        <w:spacing w:before="40" w:after="0"/>
        <w:ind w:left="1440" w:firstLine="1440"/>
        <w:outlineLvl w:val="2"/>
        <w:rPr>
          <w:rFonts w:asciiTheme="majorHAnsi" w:hAnsiTheme="majorHAnsi" w:cstheme="majorHAnsi"/>
          <w:b/>
          <w:color w:val="7EB1E6" w:themeColor="accent3" w:themeTint="99"/>
          <w:szCs w:val="24"/>
        </w:rPr>
      </w:pPr>
      <w:bookmarkStart w:id="8" w:name="_Toc117458914"/>
      <w:r>
        <w:rPr>
          <w:rFonts w:asciiTheme="majorHAnsi" w:hAnsiTheme="majorHAnsi" w:cstheme="majorHAnsi"/>
          <w:b/>
          <w:color w:val="7EB1E6" w:themeColor="accent3" w:themeTint="99"/>
          <w:szCs w:val="24"/>
        </w:rPr>
        <w:t>2</w:t>
      </w:r>
      <w:r w:rsidR="004C5A0C" w:rsidRPr="00ED7B99">
        <w:rPr>
          <w:rFonts w:asciiTheme="majorHAnsi" w:hAnsiTheme="majorHAnsi" w:cstheme="majorHAnsi"/>
          <w:b/>
          <w:color w:val="7EB1E6" w:themeColor="accent3" w:themeTint="99"/>
          <w:szCs w:val="24"/>
        </w:rPr>
        <w:t>.1.6. Struktura pokazatelja poslovanja male privrede u Federaciji BiH</w:t>
      </w:r>
      <w:bookmarkEnd w:id="8"/>
      <w:r w:rsidR="004C5A0C" w:rsidRPr="00ED7B99">
        <w:rPr>
          <w:rFonts w:asciiTheme="majorHAnsi" w:hAnsiTheme="majorHAnsi" w:cstheme="majorHAnsi"/>
          <w:b/>
          <w:color w:val="7EB1E6" w:themeColor="accent3" w:themeTint="99"/>
          <w:szCs w:val="24"/>
        </w:rPr>
        <w:t xml:space="preserve"> </w:t>
      </w:r>
    </w:p>
    <w:p w14:paraId="1DCA1F2D" w14:textId="77777777" w:rsidR="004C5A0C" w:rsidRPr="00ED7B99" w:rsidRDefault="004C5A0C" w:rsidP="004C5A0C">
      <w:pPr>
        <w:rPr>
          <w:rFonts w:asciiTheme="majorHAnsi" w:hAnsiTheme="majorHAnsi" w:cstheme="majorHAnsi"/>
        </w:rPr>
      </w:pPr>
    </w:p>
    <w:p w14:paraId="37A58415" w14:textId="4803CF68" w:rsidR="00683004" w:rsidRPr="00F778EC" w:rsidRDefault="00F778EC" w:rsidP="004C5A0C">
      <w:pPr>
        <w:jc w:val="both"/>
        <w:rPr>
          <w:rFonts w:asciiTheme="majorHAnsi" w:hAnsiTheme="majorHAnsi" w:cstheme="majorHAnsi"/>
        </w:rPr>
      </w:pPr>
      <w:r>
        <w:rPr>
          <w:rFonts w:asciiTheme="majorHAnsi" w:hAnsiTheme="majorHAnsi" w:cstheme="majorHAnsi"/>
        </w:rPr>
        <w:t xml:space="preserve">Pored toga što su generatori zapošljavanja, MMSP značajan doprinos ostvaruju u ostvarenju ukupnih prihoda Federacije BiH. Nakon pada ukupnih prihoda koja su ostvarila mikro, mala i srednja preduzeća Federacije BiH u 2020. godini kada su iznosila 29.645.113.978 KM, u 2021. godini ostvareno je značajno povećanje ukupnih prihoda MMSP FBiH. Naime, u 2021. godini ukupni prihodi MMSP FBiH iznosili su </w:t>
      </w:r>
      <w:r w:rsidRPr="00F778EC">
        <w:rPr>
          <w:rFonts w:asciiTheme="majorHAnsi" w:hAnsiTheme="majorHAnsi" w:cstheme="majorHAnsi"/>
        </w:rPr>
        <w:t>35.796.832.308 KM, što je za 6</w:t>
      </w:r>
      <w:r>
        <w:rPr>
          <w:rFonts w:asciiTheme="majorHAnsi" w:hAnsiTheme="majorHAnsi" w:cstheme="majorHAnsi"/>
        </w:rPr>
        <w:t>.</w:t>
      </w:r>
      <w:r w:rsidRPr="00F778EC">
        <w:rPr>
          <w:rFonts w:asciiTheme="majorHAnsi" w:hAnsiTheme="majorHAnsi" w:cstheme="majorHAnsi"/>
        </w:rPr>
        <w:t>151</w:t>
      </w:r>
      <w:r>
        <w:rPr>
          <w:rFonts w:asciiTheme="majorHAnsi" w:hAnsiTheme="majorHAnsi" w:cstheme="majorHAnsi"/>
        </w:rPr>
        <w:t>.</w:t>
      </w:r>
      <w:r w:rsidRPr="00F778EC">
        <w:rPr>
          <w:rFonts w:asciiTheme="majorHAnsi" w:hAnsiTheme="majorHAnsi" w:cstheme="majorHAnsi"/>
        </w:rPr>
        <w:t>718</w:t>
      </w:r>
      <w:r>
        <w:rPr>
          <w:rFonts w:asciiTheme="majorHAnsi" w:hAnsiTheme="majorHAnsi" w:cstheme="majorHAnsi"/>
        </w:rPr>
        <w:t>.</w:t>
      </w:r>
      <w:r w:rsidRPr="00F778EC">
        <w:rPr>
          <w:rFonts w:asciiTheme="majorHAnsi" w:hAnsiTheme="majorHAnsi" w:cstheme="majorHAnsi"/>
        </w:rPr>
        <w:t>330 KM ili 20% više u odnosu na 2020. godinu (Tabela 1</w:t>
      </w:r>
      <w:r w:rsidR="00683004">
        <w:rPr>
          <w:rFonts w:asciiTheme="majorHAnsi" w:hAnsiTheme="majorHAnsi" w:cstheme="majorHAnsi"/>
        </w:rPr>
        <w:t>5</w:t>
      </w:r>
      <w:r w:rsidRPr="00F778EC">
        <w:rPr>
          <w:rFonts w:asciiTheme="majorHAnsi" w:hAnsiTheme="majorHAnsi" w:cstheme="majorHAnsi"/>
        </w:rPr>
        <w:t xml:space="preserve">.). </w:t>
      </w:r>
      <w:r w:rsidR="0010687A">
        <w:rPr>
          <w:rFonts w:asciiTheme="majorHAnsi" w:hAnsiTheme="majorHAnsi" w:cstheme="majorHAnsi"/>
        </w:rPr>
        <w:t xml:space="preserve">Svakako treba istaknuti da je istovremeno došlo i do povećanja broja subjekata za 1.222 u ovom periodu. </w:t>
      </w:r>
    </w:p>
    <w:p w14:paraId="02DBB123" w14:textId="3421534D" w:rsidR="00F778EC" w:rsidRDefault="00F778EC" w:rsidP="00F778EC">
      <w:pPr>
        <w:pStyle w:val="Caption"/>
        <w:keepNext/>
      </w:pPr>
      <w:r>
        <w:t xml:space="preserve">Tabela </w:t>
      </w:r>
      <w:fldSimple w:instr=" SEQ Tabela \* ARABIC ">
        <w:r w:rsidR="00683004">
          <w:rPr>
            <w:noProof/>
          </w:rPr>
          <w:t>15</w:t>
        </w:r>
      </w:fldSimple>
      <w:r>
        <w:t>. Ukupni prihodi MMSP po kantonima FBiH u periodu 2018.-2021. godina</w:t>
      </w:r>
    </w:p>
    <w:tbl>
      <w:tblPr>
        <w:tblStyle w:val="GridTable1Light-Accent5"/>
        <w:tblW w:w="9300" w:type="dxa"/>
        <w:tblLayout w:type="fixed"/>
        <w:tblLook w:val="0400" w:firstRow="0" w:lastRow="0" w:firstColumn="0" w:lastColumn="0" w:noHBand="0" w:noVBand="1"/>
      </w:tblPr>
      <w:tblGrid>
        <w:gridCol w:w="2840"/>
        <w:gridCol w:w="1640"/>
        <w:gridCol w:w="1640"/>
        <w:gridCol w:w="1540"/>
        <w:gridCol w:w="1640"/>
      </w:tblGrid>
      <w:tr w:rsidR="004C5A0C" w:rsidRPr="00683004" w14:paraId="0496D95C" w14:textId="77777777" w:rsidTr="00F778EC">
        <w:trPr>
          <w:trHeight w:val="315"/>
        </w:trPr>
        <w:tc>
          <w:tcPr>
            <w:tcW w:w="2840" w:type="dxa"/>
            <w:shd w:val="clear" w:color="auto" w:fill="BCD9DE" w:themeFill="accent5" w:themeFillTint="66"/>
          </w:tcPr>
          <w:p w14:paraId="66BED482" w14:textId="77777777" w:rsidR="004C5A0C" w:rsidRPr="00683004" w:rsidRDefault="004C5A0C" w:rsidP="004C5A0C">
            <w:pPr>
              <w:jc w:val="cente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Kanton</w:t>
            </w:r>
          </w:p>
        </w:tc>
        <w:tc>
          <w:tcPr>
            <w:tcW w:w="1640" w:type="dxa"/>
            <w:shd w:val="clear" w:color="auto" w:fill="BCD9DE" w:themeFill="accent5" w:themeFillTint="66"/>
          </w:tcPr>
          <w:p w14:paraId="41EB765D" w14:textId="77777777" w:rsidR="004C5A0C" w:rsidRPr="00683004" w:rsidRDefault="004C5A0C" w:rsidP="004C5A0C">
            <w:pPr>
              <w:jc w:val="cente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2018</w:t>
            </w:r>
          </w:p>
        </w:tc>
        <w:tc>
          <w:tcPr>
            <w:tcW w:w="1640" w:type="dxa"/>
            <w:shd w:val="clear" w:color="auto" w:fill="BCD9DE" w:themeFill="accent5" w:themeFillTint="66"/>
          </w:tcPr>
          <w:p w14:paraId="0128A049" w14:textId="77777777" w:rsidR="004C5A0C" w:rsidRPr="00683004" w:rsidRDefault="004C5A0C" w:rsidP="004C5A0C">
            <w:pPr>
              <w:jc w:val="cente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2019</w:t>
            </w:r>
          </w:p>
        </w:tc>
        <w:tc>
          <w:tcPr>
            <w:tcW w:w="1540" w:type="dxa"/>
            <w:shd w:val="clear" w:color="auto" w:fill="BCD9DE" w:themeFill="accent5" w:themeFillTint="66"/>
          </w:tcPr>
          <w:p w14:paraId="0E99C379" w14:textId="77777777" w:rsidR="004C5A0C" w:rsidRPr="00683004" w:rsidRDefault="004C5A0C" w:rsidP="004C5A0C">
            <w:pPr>
              <w:jc w:val="cente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2020</w:t>
            </w:r>
          </w:p>
        </w:tc>
        <w:tc>
          <w:tcPr>
            <w:tcW w:w="1640" w:type="dxa"/>
            <w:shd w:val="clear" w:color="auto" w:fill="BCD9DE" w:themeFill="accent5" w:themeFillTint="66"/>
          </w:tcPr>
          <w:p w14:paraId="3BECC037" w14:textId="77777777" w:rsidR="004C5A0C" w:rsidRPr="00683004" w:rsidRDefault="004C5A0C" w:rsidP="004C5A0C">
            <w:pPr>
              <w:jc w:val="cente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2021</w:t>
            </w:r>
          </w:p>
        </w:tc>
      </w:tr>
      <w:tr w:rsidR="004C5A0C" w:rsidRPr="00683004" w14:paraId="5CF8FD77" w14:textId="77777777" w:rsidTr="00F778EC">
        <w:trPr>
          <w:trHeight w:val="315"/>
        </w:trPr>
        <w:tc>
          <w:tcPr>
            <w:tcW w:w="2840" w:type="dxa"/>
          </w:tcPr>
          <w:p w14:paraId="2A1D5246"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Unsko sanski</w:t>
            </w:r>
          </w:p>
        </w:tc>
        <w:tc>
          <w:tcPr>
            <w:tcW w:w="1640" w:type="dxa"/>
          </w:tcPr>
          <w:p w14:paraId="41EA1595"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1.722.703.690 </w:t>
            </w:r>
          </w:p>
        </w:tc>
        <w:tc>
          <w:tcPr>
            <w:tcW w:w="1640" w:type="dxa"/>
          </w:tcPr>
          <w:p w14:paraId="4C4AB9EA"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1.787.615.260 </w:t>
            </w:r>
          </w:p>
        </w:tc>
        <w:tc>
          <w:tcPr>
            <w:tcW w:w="1540" w:type="dxa"/>
          </w:tcPr>
          <w:p w14:paraId="69CB161B"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1.659.721.527 </w:t>
            </w:r>
          </w:p>
        </w:tc>
        <w:tc>
          <w:tcPr>
            <w:tcW w:w="1640" w:type="dxa"/>
          </w:tcPr>
          <w:p w14:paraId="2F1BEA51"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2.038.220.297 </w:t>
            </w:r>
          </w:p>
        </w:tc>
      </w:tr>
      <w:tr w:rsidR="004C5A0C" w:rsidRPr="00683004" w14:paraId="53F0120D" w14:textId="77777777" w:rsidTr="00F778EC">
        <w:trPr>
          <w:trHeight w:val="315"/>
        </w:trPr>
        <w:tc>
          <w:tcPr>
            <w:tcW w:w="2840" w:type="dxa"/>
          </w:tcPr>
          <w:p w14:paraId="5720A87A"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Posavski</w:t>
            </w:r>
          </w:p>
        </w:tc>
        <w:tc>
          <w:tcPr>
            <w:tcW w:w="1640" w:type="dxa"/>
          </w:tcPr>
          <w:p w14:paraId="1AEC3FE4"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707.558.025 </w:t>
            </w:r>
          </w:p>
        </w:tc>
        <w:tc>
          <w:tcPr>
            <w:tcW w:w="1640" w:type="dxa"/>
          </w:tcPr>
          <w:p w14:paraId="745BD30F"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664.052.652 </w:t>
            </w:r>
          </w:p>
        </w:tc>
        <w:tc>
          <w:tcPr>
            <w:tcW w:w="1540" w:type="dxa"/>
          </w:tcPr>
          <w:p w14:paraId="01BCE05D"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575.545.136 </w:t>
            </w:r>
          </w:p>
        </w:tc>
        <w:tc>
          <w:tcPr>
            <w:tcW w:w="1640" w:type="dxa"/>
          </w:tcPr>
          <w:p w14:paraId="45F7F147"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668.521.147 </w:t>
            </w:r>
          </w:p>
        </w:tc>
      </w:tr>
      <w:tr w:rsidR="004C5A0C" w:rsidRPr="00683004" w14:paraId="70BA3DA2" w14:textId="77777777" w:rsidTr="00F778EC">
        <w:trPr>
          <w:trHeight w:val="315"/>
        </w:trPr>
        <w:tc>
          <w:tcPr>
            <w:tcW w:w="2840" w:type="dxa"/>
          </w:tcPr>
          <w:p w14:paraId="3BF164B9"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Tuzlanski</w:t>
            </w:r>
          </w:p>
        </w:tc>
        <w:tc>
          <w:tcPr>
            <w:tcW w:w="1640" w:type="dxa"/>
          </w:tcPr>
          <w:p w14:paraId="36B1EB8B"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4.618.038.044 </w:t>
            </w:r>
          </w:p>
        </w:tc>
        <w:tc>
          <w:tcPr>
            <w:tcW w:w="1640" w:type="dxa"/>
          </w:tcPr>
          <w:p w14:paraId="62A60145"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4.953.852.981 </w:t>
            </w:r>
          </w:p>
        </w:tc>
        <w:tc>
          <w:tcPr>
            <w:tcW w:w="1540" w:type="dxa"/>
          </w:tcPr>
          <w:p w14:paraId="158BA2BD"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4.613.005.265 </w:t>
            </w:r>
          </w:p>
        </w:tc>
        <w:tc>
          <w:tcPr>
            <w:tcW w:w="1640" w:type="dxa"/>
          </w:tcPr>
          <w:p w14:paraId="28EEEB01"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5.401.204.377 </w:t>
            </w:r>
          </w:p>
        </w:tc>
      </w:tr>
      <w:tr w:rsidR="004C5A0C" w:rsidRPr="00683004" w14:paraId="2C0DCA14" w14:textId="77777777" w:rsidTr="00F778EC">
        <w:trPr>
          <w:trHeight w:val="315"/>
        </w:trPr>
        <w:tc>
          <w:tcPr>
            <w:tcW w:w="2840" w:type="dxa"/>
          </w:tcPr>
          <w:p w14:paraId="33DB5980"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Zeničko dobojski</w:t>
            </w:r>
          </w:p>
        </w:tc>
        <w:tc>
          <w:tcPr>
            <w:tcW w:w="1640" w:type="dxa"/>
          </w:tcPr>
          <w:p w14:paraId="010561D7"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4.695.715.705 </w:t>
            </w:r>
          </w:p>
        </w:tc>
        <w:tc>
          <w:tcPr>
            <w:tcW w:w="1640" w:type="dxa"/>
          </w:tcPr>
          <w:p w14:paraId="46871C85"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4.625.332.782 </w:t>
            </w:r>
          </w:p>
        </w:tc>
        <w:tc>
          <w:tcPr>
            <w:tcW w:w="1540" w:type="dxa"/>
          </w:tcPr>
          <w:p w14:paraId="485DE2A0"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4.460.793.881 </w:t>
            </w:r>
          </w:p>
        </w:tc>
        <w:tc>
          <w:tcPr>
            <w:tcW w:w="1640" w:type="dxa"/>
          </w:tcPr>
          <w:p w14:paraId="54CBDDEE"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5.367.113.503 </w:t>
            </w:r>
          </w:p>
        </w:tc>
      </w:tr>
      <w:tr w:rsidR="004C5A0C" w:rsidRPr="00683004" w14:paraId="087F5E21" w14:textId="77777777" w:rsidTr="00F778EC">
        <w:trPr>
          <w:trHeight w:val="315"/>
        </w:trPr>
        <w:tc>
          <w:tcPr>
            <w:tcW w:w="2840" w:type="dxa"/>
          </w:tcPr>
          <w:p w14:paraId="280E3A35"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Bosansko - podrinjski</w:t>
            </w:r>
          </w:p>
        </w:tc>
        <w:tc>
          <w:tcPr>
            <w:tcW w:w="1640" w:type="dxa"/>
          </w:tcPr>
          <w:p w14:paraId="44DBCE08"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189.474.054 </w:t>
            </w:r>
          </w:p>
        </w:tc>
        <w:tc>
          <w:tcPr>
            <w:tcW w:w="1640" w:type="dxa"/>
          </w:tcPr>
          <w:p w14:paraId="3F7BED63"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195.542.022 </w:t>
            </w:r>
          </w:p>
        </w:tc>
        <w:tc>
          <w:tcPr>
            <w:tcW w:w="1540" w:type="dxa"/>
          </w:tcPr>
          <w:p w14:paraId="104EB8B3"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179.564.308 </w:t>
            </w:r>
          </w:p>
        </w:tc>
        <w:tc>
          <w:tcPr>
            <w:tcW w:w="1640" w:type="dxa"/>
          </w:tcPr>
          <w:p w14:paraId="37105450"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235.707.744 </w:t>
            </w:r>
          </w:p>
        </w:tc>
      </w:tr>
      <w:tr w:rsidR="004C5A0C" w:rsidRPr="00683004" w14:paraId="749DDF71" w14:textId="77777777" w:rsidTr="00F778EC">
        <w:trPr>
          <w:trHeight w:val="315"/>
        </w:trPr>
        <w:tc>
          <w:tcPr>
            <w:tcW w:w="2840" w:type="dxa"/>
          </w:tcPr>
          <w:p w14:paraId="194ABC08"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Srednjobosanski</w:t>
            </w:r>
          </w:p>
        </w:tc>
        <w:tc>
          <w:tcPr>
            <w:tcW w:w="1640" w:type="dxa"/>
          </w:tcPr>
          <w:p w14:paraId="631C408B"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2.388.882.161 </w:t>
            </w:r>
          </w:p>
        </w:tc>
        <w:tc>
          <w:tcPr>
            <w:tcW w:w="1640" w:type="dxa"/>
          </w:tcPr>
          <w:p w14:paraId="4DE4F2D5"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2.414.814.176 </w:t>
            </w:r>
          </w:p>
        </w:tc>
        <w:tc>
          <w:tcPr>
            <w:tcW w:w="1540" w:type="dxa"/>
          </w:tcPr>
          <w:p w14:paraId="6344A327"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2.377.985.319 </w:t>
            </w:r>
          </w:p>
        </w:tc>
        <w:tc>
          <w:tcPr>
            <w:tcW w:w="1640" w:type="dxa"/>
          </w:tcPr>
          <w:p w14:paraId="5B33FDD6"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2.634.150.645 </w:t>
            </w:r>
          </w:p>
        </w:tc>
      </w:tr>
      <w:tr w:rsidR="004C5A0C" w:rsidRPr="00683004" w14:paraId="36C3686F" w14:textId="77777777" w:rsidTr="00F778EC">
        <w:trPr>
          <w:trHeight w:val="315"/>
        </w:trPr>
        <w:tc>
          <w:tcPr>
            <w:tcW w:w="2840" w:type="dxa"/>
          </w:tcPr>
          <w:p w14:paraId="6791F70C"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Hercegovačko - neretvanski</w:t>
            </w:r>
          </w:p>
        </w:tc>
        <w:tc>
          <w:tcPr>
            <w:tcW w:w="1640" w:type="dxa"/>
          </w:tcPr>
          <w:p w14:paraId="65BF7115"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3.325.496.495 </w:t>
            </w:r>
          </w:p>
        </w:tc>
        <w:tc>
          <w:tcPr>
            <w:tcW w:w="1640" w:type="dxa"/>
          </w:tcPr>
          <w:p w14:paraId="7C6217C7"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3.370.910.693 </w:t>
            </w:r>
          </w:p>
        </w:tc>
        <w:tc>
          <w:tcPr>
            <w:tcW w:w="1540" w:type="dxa"/>
          </w:tcPr>
          <w:p w14:paraId="5A3735BC"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3.141.662.837 </w:t>
            </w:r>
          </w:p>
        </w:tc>
        <w:tc>
          <w:tcPr>
            <w:tcW w:w="1640" w:type="dxa"/>
          </w:tcPr>
          <w:p w14:paraId="131564A9"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3.796.762.681 </w:t>
            </w:r>
          </w:p>
        </w:tc>
      </w:tr>
      <w:tr w:rsidR="004C5A0C" w:rsidRPr="00683004" w14:paraId="4D7A0243" w14:textId="77777777" w:rsidTr="00F778EC">
        <w:trPr>
          <w:trHeight w:val="315"/>
        </w:trPr>
        <w:tc>
          <w:tcPr>
            <w:tcW w:w="2840" w:type="dxa"/>
          </w:tcPr>
          <w:p w14:paraId="018A3748"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Zapadnohercegovački</w:t>
            </w:r>
          </w:p>
        </w:tc>
        <w:tc>
          <w:tcPr>
            <w:tcW w:w="1640" w:type="dxa"/>
          </w:tcPr>
          <w:p w14:paraId="2E77672D"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2.730.473.845 </w:t>
            </w:r>
          </w:p>
        </w:tc>
        <w:tc>
          <w:tcPr>
            <w:tcW w:w="1640" w:type="dxa"/>
          </w:tcPr>
          <w:p w14:paraId="35BDEEA9"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3.017.086.007 </w:t>
            </w:r>
          </w:p>
        </w:tc>
        <w:tc>
          <w:tcPr>
            <w:tcW w:w="1540" w:type="dxa"/>
          </w:tcPr>
          <w:p w14:paraId="5279890C"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2.441.818.303 </w:t>
            </w:r>
          </w:p>
        </w:tc>
        <w:tc>
          <w:tcPr>
            <w:tcW w:w="1640" w:type="dxa"/>
          </w:tcPr>
          <w:p w14:paraId="1B8B63A2" w14:textId="77777777" w:rsidR="004C5A0C" w:rsidRPr="00683004" w:rsidRDefault="004C5A0C" w:rsidP="004C5A0C">
            <w:pPr>
              <w:jc w:val="right"/>
              <w:rPr>
                <w:rFonts w:asciiTheme="majorHAnsi" w:eastAsia="Arial Unicode MS" w:hAnsiTheme="majorHAnsi" w:cstheme="majorHAnsi"/>
                <w:bCs/>
                <w:kern w:val="24"/>
                <w:sz w:val="20"/>
                <w:szCs w:val="20"/>
              </w:rPr>
            </w:pPr>
            <w:r w:rsidRPr="00683004">
              <w:rPr>
                <w:rFonts w:asciiTheme="majorHAnsi" w:eastAsia="Arial Unicode MS" w:hAnsiTheme="majorHAnsi" w:cstheme="majorHAnsi"/>
                <w:bCs/>
                <w:kern w:val="24"/>
                <w:sz w:val="20"/>
                <w:szCs w:val="20"/>
              </w:rPr>
              <w:t xml:space="preserve">2.775.438.912 </w:t>
            </w:r>
          </w:p>
        </w:tc>
      </w:tr>
      <w:tr w:rsidR="004C5A0C" w:rsidRPr="00683004" w14:paraId="49C57C5B" w14:textId="77777777" w:rsidTr="00F778EC">
        <w:trPr>
          <w:trHeight w:val="315"/>
        </w:trPr>
        <w:tc>
          <w:tcPr>
            <w:tcW w:w="2840" w:type="dxa"/>
          </w:tcPr>
          <w:p w14:paraId="5CB597F5"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Kanton Sarajevo</w:t>
            </w:r>
          </w:p>
        </w:tc>
        <w:tc>
          <w:tcPr>
            <w:tcW w:w="1640" w:type="dxa"/>
          </w:tcPr>
          <w:p w14:paraId="3D93871E" w14:textId="77777777" w:rsidR="004C5A0C" w:rsidRPr="00683004" w:rsidRDefault="004C5A0C" w:rsidP="004C5A0C">
            <w:pPr>
              <w:jc w:val="right"/>
              <w:rPr>
                <w:rFonts w:asciiTheme="majorHAnsi" w:hAnsiTheme="majorHAnsi" w:cstheme="majorHAnsi"/>
                <w:bCs/>
                <w:sz w:val="20"/>
                <w:szCs w:val="20"/>
              </w:rPr>
            </w:pPr>
            <w:r w:rsidRPr="00683004">
              <w:rPr>
                <w:rFonts w:asciiTheme="majorHAnsi" w:eastAsia="Arial Unicode MS" w:hAnsiTheme="majorHAnsi" w:cstheme="majorHAnsi"/>
                <w:bCs/>
                <w:kern w:val="24"/>
                <w:sz w:val="20"/>
                <w:szCs w:val="20"/>
              </w:rPr>
              <w:t xml:space="preserve">10.207.717.111 </w:t>
            </w:r>
          </w:p>
        </w:tc>
        <w:tc>
          <w:tcPr>
            <w:tcW w:w="1640" w:type="dxa"/>
          </w:tcPr>
          <w:p w14:paraId="5FB36010" w14:textId="77777777" w:rsidR="004C5A0C" w:rsidRPr="00683004" w:rsidRDefault="004C5A0C" w:rsidP="004C5A0C">
            <w:pPr>
              <w:jc w:val="right"/>
              <w:rPr>
                <w:rFonts w:asciiTheme="majorHAnsi" w:hAnsiTheme="majorHAnsi" w:cstheme="majorHAnsi"/>
                <w:bCs/>
                <w:sz w:val="20"/>
                <w:szCs w:val="20"/>
              </w:rPr>
            </w:pPr>
            <w:r w:rsidRPr="00683004">
              <w:rPr>
                <w:rFonts w:asciiTheme="majorHAnsi" w:eastAsia="Arial Unicode MS" w:hAnsiTheme="majorHAnsi" w:cstheme="majorHAnsi"/>
                <w:bCs/>
                <w:kern w:val="24"/>
                <w:sz w:val="20"/>
                <w:szCs w:val="20"/>
              </w:rPr>
              <w:t xml:space="preserve">10.729.759.347 </w:t>
            </w:r>
          </w:p>
        </w:tc>
        <w:tc>
          <w:tcPr>
            <w:tcW w:w="1540" w:type="dxa"/>
          </w:tcPr>
          <w:p w14:paraId="7F7941AA" w14:textId="77777777" w:rsidR="004C5A0C" w:rsidRPr="00683004" w:rsidRDefault="004C5A0C" w:rsidP="004C5A0C">
            <w:pPr>
              <w:jc w:val="right"/>
              <w:rPr>
                <w:rFonts w:asciiTheme="majorHAnsi" w:hAnsiTheme="majorHAnsi" w:cstheme="majorHAnsi"/>
                <w:sz w:val="20"/>
                <w:szCs w:val="20"/>
              </w:rPr>
            </w:pPr>
            <w:r w:rsidRPr="00683004">
              <w:rPr>
                <w:rFonts w:asciiTheme="majorHAnsi" w:eastAsia="Arial Unicode MS" w:hAnsiTheme="majorHAnsi" w:cstheme="majorHAnsi"/>
                <w:kern w:val="24"/>
                <w:sz w:val="20"/>
                <w:szCs w:val="20"/>
              </w:rPr>
              <w:t xml:space="preserve">9.648.853.093 </w:t>
            </w:r>
          </w:p>
        </w:tc>
        <w:tc>
          <w:tcPr>
            <w:tcW w:w="1640" w:type="dxa"/>
          </w:tcPr>
          <w:p w14:paraId="69D920A0" w14:textId="77777777" w:rsidR="004C5A0C" w:rsidRPr="00683004" w:rsidRDefault="004C5A0C" w:rsidP="004C5A0C">
            <w:pPr>
              <w:jc w:val="right"/>
              <w:rPr>
                <w:rFonts w:asciiTheme="majorHAnsi" w:hAnsiTheme="majorHAnsi" w:cstheme="majorHAnsi"/>
                <w:sz w:val="20"/>
                <w:szCs w:val="20"/>
              </w:rPr>
            </w:pPr>
            <w:r w:rsidRPr="00683004">
              <w:rPr>
                <w:rFonts w:asciiTheme="majorHAnsi" w:eastAsia="Arial Unicode MS" w:hAnsiTheme="majorHAnsi" w:cstheme="majorHAnsi"/>
                <w:kern w:val="24"/>
                <w:sz w:val="20"/>
                <w:szCs w:val="20"/>
              </w:rPr>
              <w:t xml:space="preserve">12.261.426.099 </w:t>
            </w:r>
          </w:p>
        </w:tc>
      </w:tr>
      <w:tr w:rsidR="004C5A0C" w:rsidRPr="00683004" w14:paraId="3ABB1CAB" w14:textId="77777777" w:rsidTr="00F778EC">
        <w:trPr>
          <w:trHeight w:val="315"/>
        </w:trPr>
        <w:tc>
          <w:tcPr>
            <w:tcW w:w="2840" w:type="dxa"/>
          </w:tcPr>
          <w:p w14:paraId="38408DEB" w14:textId="77777777" w:rsidR="004C5A0C" w:rsidRPr="00683004" w:rsidRDefault="004C5A0C" w:rsidP="004C5A0C">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K10</w:t>
            </w:r>
          </w:p>
        </w:tc>
        <w:tc>
          <w:tcPr>
            <w:tcW w:w="1640" w:type="dxa"/>
          </w:tcPr>
          <w:p w14:paraId="1F914890" w14:textId="77777777" w:rsidR="004C5A0C" w:rsidRPr="00683004" w:rsidRDefault="004C5A0C" w:rsidP="004C5A0C">
            <w:pPr>
              <w:jc w:val="right"/>
              <w:rPr>
                <w:rFonts w:asciiTheme="majorHAnsi" w:hAnsiTheme="majorHAnsi" w:cstheme="majorHAnsi"/>
                <w:bCs/>
                <w:sz w:val="20"/>
                <w:szCs w:val="20"/>
              </w:rPr>
            </w:pPr>
            <w:r w:rsidRPr="00683004">
              <w:rPr>
                <w:rFonts w:asciiTheme="majorHAnsi" w:eastAsia="Arial Unicode MS" w:hAnsiTheme="majorHAnsi" w:cstheme="majorHAnsi"/>
                <w:bCs/>
                <w:kern w:val="24"/>
                <w:sz w:val="20"/>
                <w:szCs w:val="20"/>
              </w:rPr>
              <w:t xml:space="preserve">527.406.171 </w:t>
            </w:r>
          </w:p>
        </w:tc>
        <w:tc>
          <w:tcPr>
            <w:tcW w:w="1640" w:type="dxa"/>
          </w:tcPr>
          <w:p w14:paraId="23998E23" w14:textId="77777777" w:rsidR="004C5A0C" w:rsidRPr="00683004" w:rsidRDefault="004C5A0C" w:rsidP="004C5A0C">
            <w:pPr>
              <w:jc w:val="right"/>
              <w:rPr>
                <w:rFonts w:asciiTheme="majorHAnsi" w:hAnsiTheme="majorHAnsi" w:cstheme="majorHAnsi"/>
                <w:bCs/>
                <w:sz w:val="20"/>
                <w:szCs w:val="20"/>
              </w:rPr>
            </w:pPr>
            <w:r w:rsidRPr="00683004">
              <w:rPr>
                <w:rFonts w:asciiTheme="majorHAnsi" w:eastAsia="Arial Unicode MS" w:hAnsiTheme="majorHAnsi" w:cstheme="majorHAnsi"/>
                <w:bCs/>
                <w:kern w:val="24"/>
                <w:sz w:val="20"/>
                <w:szCs w:val="20"/>
              </w:rPr>
              <w:t xml:space="preserve">570.652.707 </w:t>
            </w:r>
          </w:p>
        </w:tc>
        <w:tc>
          <w:tcPr>
            <w:tcW w:w="1540" w:type="dxa"/>
          </w:tcPr>
          <w:p w14:paraId="54EE95AD" w14:textId="77777777" w:rsidR="004C5A0C" w:rsidRPr="00683004" w:rsidRDefault="004C5A0C" w:rsidP="004C5A0C">
            <w:pPr>
              <w:jc w:val="right"/>
              <w:rPr>
                <w:rFonts w:asciiTheme="majorHAnsi" w:hAnsiTheme="majorHAnsi" w:cstheme="majorHAnsi"/>
                <w:sz w:val="20"/>
                <w:szCs w:val="20"/>
              </w:rPr>
            </w:pPr>
            <w:r w:rsidRPr="00683004">
              <w:rPr>
                <w:rFonts w:asciiTheme="majorHAnsi" w:eastAsia="Arial Unicode MS" w:hAnsiTheme="majorHAnsi" w:cstheme="majorHAnsi"/>
                <w:kern w:val="24"/>
                <w:sz w:val="20"/>
                <w:szCs w:val="20"/>
              </w:rPr>
              <w:t xml:space="preserve">546.164.309 </w:t>
            </w:r>
          </w:p>
        </w:tc>
        <w:tc>
          <w:tcPr>
            <w:tcW w:w="1640" w:type="dxa"/>
          </w:tcPr>
          <w:p w14:paraId="5FF0FA31" w14:textId="77777777" w:rsidR="004C5A0C" w:rsidRPr="00683004" w:rsidRDefault="004C5A0C" w:rsidP="004C5A0C">
            <w:pPr>
              <w:jc w:val="right"/>
              <w:rPr>
                <w:rFonts w:asciiTheme="majorHAnsi" w:hAnsiTheme="majorHAnsi" w:cstheme="majorHAnsi"/>
                <w:sz w:val="20"/>
                <w:szCs w:val="20"/>
              </w:rPr>
            </w:pPr>
            <w:r w:rsidRPr="00683004">
              <w:rPr>
                <w:rFonts w:asciiTheme="majorHAnsi" w:eastAsia="Arial Unicode MS" w:hAnsiTheme="majorHAnsi" w:cstheme="majorHAnsi"/>
                <w:kern w:val="24"/>
                <w:sz w:val="20"/>
                <w:szCs w:val="20"/>
              </w:rPr>
              <w:t xml:space="preserve">618.286.903 </w:t>
            </w:r>
          </w:p>
        </w:tc>
      </w:tr>
      <w:tr w:rsidR="004C5A0C" w:rsidRPr="00683004" w14:paraId="045256DB" w14:textId="77777777" w:rsidTr="00F778EC">
        <w:trPr>
          <w:trHeight w:val="315"/>
        </w:trPr>
        <w:tc>
          <w:tcPr>
            <w:tcW w:w="2840" w:type="dxa"/>
            <w:shd w:val="clear" w:color="auto" w:fill="BCD9DE" w:themeFill="accent5" w:themeFillTint="66"/>
          </w:tcPr>
          <w:p w14:paraId="3747910E" w14:textId="77777777" w:rsidR="004C5A0C" w:rsidRPr="00683004" w:rsidRDefault="004C5A0C" w:rsidP="004C5A0C">
            <w:pP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Federacija BiH</w:t>
            </w:r>
          </w:p>
        </w:tc>
        <w:tc>
          <w:tcPr>
            <w:tcW w:w="1640" w:type="dxa"/>
            <w:shd w:val="clear" w:color="auto" w:fill="BCD9DE" w:themeFill="accent5" w:themeFillTint="66"/>
          </w:tcPr>
          <w:p w14:paraId="4F94A41F" w14:textId="77777777" w:rsidR="004C5A0C" w:rsidRPr="00683004" w:rsidRDefault="004C5A0C" w:rsidP="004C5A0C">
            <w:pPr>
              <w:jc w:val="right"/>
              <w:rPr>
                <w:rFonts w:asciiTheme="majorHAnsi" w:hAnsiTheme="majorHAnsi" w:cstheme="majorHAnsi"/>
                <w:b/>
                <w:bCs/>
                <w:sz w:val="20"/>
                <w:szCs w:val="20"/>
              </w:rPr>
            </w:pPr>
            <w:r w:rsidRPr="00683004">
              <w:rPr>
                <w:rFonts w:asciiTheme="majorHAnsi" w:eastAsia="Arial Unicode MS" w:hAnsiTheme="majorHAnsi" w:cstheme="majorHAnsi"/>
                <w:b/>
                <w:bCs/>
                <w:kern w:val="24"/>
                <w:sz w:val="20"/>
                <w:szCs w:val="20"/>
              </w:rPr>
              <w:t>31.113.465.301</w:t>
            </w:r>
          </w:p>
        </w:tc>
        <w:tc>
          <w:tcPr>
            <w:tcW w:w="1640" w:type="dxa"/>
            <w:shd w:val="clear" w:color="auto" w:fill="BCD9DE" w:themeFill="accent5" w:themeFillTint="66"/>
          </w:tcPr>
          <w:p w14:paraId="14691188" w14:textId="77777777" w:rsidR="004C5A0C" w:rsidRPr="00683004" w:rsidRDefault="004C5A0C" w:rsidP="004C5A0C">
            <w:pPr>
              <w:jc w:val="right"/>
              <w:rPr>
                <w:rFonts w:asciiTheme="majorHAnsi" w:hAnsiTheme="majorHAnsi" w:cstheme="majorHAnsi"/>
                <w:b/>
                <w:bCs/>
                <w:sz w:val="20"/>
                <w:szCs w:val="20"/>
              </w:rPr>
            </w:pPr>
            <w:r w:rsidRPr="00683004">
              <w:rPr>
                <w:rFonts w:asciiTheme="majorHAnsi" w:eastAsia="Arial Unicode MS" w:hAnsiTheme="majorHAnsi" w:cstheme="majorHAnsi"/>
                <w:b/>
                <w:bCs/>
                <w:kern w:val="24"/>
                <w:sz w:val="20"/>
                <w:szCs w:val="20"/>
              </w:rPr>
              <w:t>32.329.618.627</w:t>
            </w:r>
          </w:p>
        </w:tc>
        <w:tc>
          <w:tcPr>
            <w:tcW w:w="1540" w:type="dxa"/>
            <w:shd w:val="clear" w:color="auto" w:fill="BCD9DE" w:themeFill="accent5" w:themeFillTint="66"/>
          </w:tcPr>
          <w:p w14:paraId="1DD240D6" w14:textId="77777777" w:rsidR="004C5A0C" w:rsidRPr="00683004" w:rsidRDefault="004C5A0C" w:rsidP="004C5A0C">
            <w:pPr>
              <w:jc w:val="right"/>
              <w:rPr>
                <w:rFonts w:asciiTheme="majorHAnsi" w:hAnsiTheme="majorHAnsi" w:cstheme="majorHAnsi"/>
                <w:b/>
                <w:bCs/>
                <w:sz w:val="20"/>
                <w:szCs w:val="20"/>
              </w:rPr>
            </w:pPr>
            <w:r w:rsidRPr="00683004">
              <w:rPr>
                <w:rFonts w:asciiTheme="majorHAnsi" w:eastAsia="Arial Unicode MS" w:hAnsiTheme="majorHAnsi" w:cstheme="majorHAnsi"/>
                <w:b/>
                <w:bCs/>
                <w:kern w:val="24"/>
                <w:sz w:val="20"/>
                <w:szCs w:val="20"/>
              </w:rPr>
              <w:t>29.645.113.978</w:t>
            </w:r>
          </w:p>
        </w:tc>
        <w:tc>
          <w:tcPr>
            <w:tcW w:w="1640" w:type="dxa"/>
            <w:shd w:val="clear" w:color="auto" w:fill="BCD9DE" w:themeFill="accent5" w:themeFillTint="66"/>
          </w:tcPr>
          <w:p w14:paraId="260E0E96" w14:textId="77777777" w:rsidR="004C5A0C" w:rsidRPr="00683004" w:rsidRDefault="004C5A0C" w:rsidP="004C5A0C">
            <w:pPr>
              <w:jc w:val="right"/>
              <w:rPr>
                <w:rFonts w:asciiTheme="majorHAnsi" w:hAnsiTheme="majorHAnsi" w:cstheme="majorHAnsi"/>
                <w:b/>
                <w:bCs/>
                <w:sz w:val="20"/>
                <w:szCs w:val="20"/>
              </w:rPr>
            </w:pPr>
            <w:r w:rsidRPr="00683004">
              <w:rPr>
                <w:rFonts w:asciiTheme="majorHAnsi" w:eastAsia="Arial Unicode MS" w:hAnsiTheme="majorHAnsi" w:cstheme="majorHAnsi"/>
                <w:b/>
                <w:bCs/>
                <w:kern w:val="24"/>
                <w:sz w:val="20"/>
                <w:szCs w:val="20"/>
              </w:rPr>
              <w:t>35.796.832.308</w:t>
            </w:r>
          </w:p>
        </w:tc>
      </w:tr>
    </w:tbl>
    <w:p w14:paraId="2FDB5D60" w14:textId="77777777" w:rsidR="00F778EC" w:rsidRDefault="00F778EC" w:rsidP="00F778EC">
      <w:pPr>
        <w:rPr>
          <w:rFonts w:asciiTheme="majorHAnsi" w:hAnsiTheme="majorHAnsi" w:cstheme="majorHAnsi"/>
          <w:i/>
          <w:sz w:val="18"/>
          <w:szCs w:val="18"/>
        </w:rPr>
      </w:pPr>
      <w:r w:rsidRPr="00ED7B99">
        <w:rPr>
          <w:rFonts w:asciiTheme="majorHAnsi" w:hAnsiTheme="majorHAnsi" w:cstheme="majorHAnsi"/>
          <w:i/>
          <w:sz w:val="18"/>
          <w:szCs w:val="18"/>
        </w:rPr>
        <w:t>Izvor: BISNODE baza podataka</w:t>
      </w:r>
    </w:p>
    <w:p w14:paraId="65DAB22C" w14:textId="2EB6DA7B" w:rsidR="004C5A0C" w:rsidRPr="00F778EC" w:rsidRDefault="00F778EC" w:rsidP="00F778EC">
      <w:pPr>
        <w:jc w:val="both"/>
        <w:rPr>
          <w:rFonts w:asciiTheme="majorHAnsi" w:hAnsiTheme="majorHAnsi" w:cstheme="majorHAnsi"/>
        </w:rPr>
      </w:pPr>
      <w:r w:rsidRPr="00F778EC">
        <w:rPr>
          <w:rFonts w:asciiTheme="majorHAnsi" w:hAnsiTheme="majorHAnsi" w:cstheme="majorHAnsi"/>
        </w:rPr>
        <w:t xml:space="preserve">Više od 1/3 ukupnih prihoda MMSP FBiH ostvaruju MMSP sa područja Kantona Sarajevo, preciznije 12.261.426.099 </w:t>
      </w:r>
      <w:r w:rsidR="00A713A7">
        <w:rPr>
          <w:rFonts w:asciiTheme="majorHAnsi" w:hAnsiTheme="majorHAnsi" w:cstheme="majorHAnsi"/>
        </w:rPr>
        <w:t xml:space="preserve">KM </w:t>
      </w:r>
      <w:r w:rsidRPr="00F778EC">
        <w:rPr>
          <w:rFonts w:asciiTheme="majorHAnsi" w:hAnsiTheme="majorHAnsi" w:cstheme="majorHAnsi"/>
        </w:rPr>
        <w:t xml:space="preserve">ili 34,3% a zatim slijede MMSP sa područja Tuzlanskog kantona (15,1%) i Zeničko-dobojskog kantona (15%). </w:t>
      </w:r>
      <w:r w:rsidR="00D14430">
        <w:rPr>
          <w:rFonts w:asciiTheme="majorHAnsi" w:hAnsiTheme="majorHAnsi" w:cstheme="majorHAnsi"/>
        </w:rPr>
        <w:t>Ukupno 186 MMSP sa područja Bosansko-podrinjskog kantona u 2021. godiniostvarilo je 235.707.744 KM prhoda, što čini najniži udio (0,7%) u ukupnim prihodima koje su ostvarila MMSP FBiH u 2021. godini.</w:t>
      </w:r>
    </w:p>
    <w:p w14:paraId="1569428B" w14:textId="480D37B0" w:rsidR="004C5A0C" w:rsidRPr="00D42DBF" w:rsidRDefault="00D42DBF" w:rsidP="00D42DBF">
      <w:pPr>
        <w:jc w:val="both"/>
        <w:rPr>
          <w:rFonts w:asciiTheme="majorHAnsi" w:hAnsiTheme="majorHAnsi" w:cstheme="majorHAnsi"/>
        </w:rPr>
      </w:pPr>
      <w:r w:rsidRPr="00D42DBF">
        <w:rPr>
          <w:rFonts w:asciiTheme="majorHAnsi" w:hAnsiTheme="majorHAnsi" w:cstheme="majorHAnsi"/>
        </w:rPr>
        <w:lastRenderedPageBreak/>
        <w:t xml:space="preserve">U ukupnom izvozu Federacije </w:t>
      </w:r>
      <w:r>
        <w:rPr>
          <w:rFonts w:asciiTheme="majorHAnsi" w:hAnsiTheme="majorHAnsi" w:cstheme="majorHAnsi"/>
        </w:rPr>
        <w:t xml:space="preserve">BiH u 2021. godini koji je iznosio </w:t>
      </w:r>
      <w:r w:rsidRPr="00D42DBF">
        <w:rPr>
          <w:rFonts w:asciiTheme="majorHAnsi" w:hAnsiTheme="majorHAnsi" w:cstheme="majorHAnsi"/>
        </w:rPr>
        <w:t xml:space="preserve">9.571.099.000 KM, MMSP učestvovala su sa </w:t>
      </w:r>
      <w:r w:rsidR="00683004">
        <w:rPr>
          <w:rFonts w:asciiTheme="majorHAnsi" w:hAnsiTheme="majorHAnsi" w:cstheme="majorHAnsi"/>
        </w:rPr>
        <w:t>67,1</w:t>
      </w:r>
      <w:r w:rsidRPr="00D42DBF">
        <w:rPr>
          <w:rFonts w:asciiTheme="majorHAnsi" w:hAnsiTheme="majorHAnsi" w:cstheme="majorHAnsi"/>
        </w:rPr>
        <w:t xml:space="preserve">%, uvažavajući </w:t>
      </w:r>
      <w:r>
        <w:rPr>
          <w:rFonts w:asciiTheme="majorHAnsi" w:hAnsiTheme="majorHAnsi" w:cstheme="majorHAnsi"/>
        </w:rPr>
        <w:t>č</w:t>
      </w:r>
      <w:r w:rsidRPr="00D42DBF">
        <w:rPr>
          <w:rFonts w:asciiTheme="majorHAnsi" w:hAnsiTheme="majorHAnsi" w:cstheme="majorHAnsi"/>
        </w:rPr>
        <w:t>injenicu da je 23.539 m</w:t>
      </w:r>
      <w:r w:rsidR="00A713A7">
        <w:rPr>
          <w:rFonts w:asciiTheme="majorHAnsi" w:hAnsiTheme="majorHAnsi" w:cstheme="majorHAnsi"/>
        </w:rPr>
        <w:t>i</w:t>
      </w:r>
      <w:r w:rsidRPr="00D42DBF">
        <w:rPr>
          <w:rFonts w:asciiTheme="majorHAnsi" w:hAnsiTheme="majorHAnsi" w:cstheme="majorHAnsi"/>
        </w:rPr>
        <w:t xml:space="preserve">kro, malih i srednjih preduzeća Federacije BiH ostvarilo </w:t>
      </w:r>
      <w:r w:rsidR="00683004" w:rsidRPr="00683004">
        <w:rPr>
          <w:rFonts w:asciiTheme="majorHAnsi" w:hAnsiTheme="majorHAnsi" w:cstheme="majorHAnsi"/>
          <w:bCs/>
          <w:sz w:val="20"/>
          <w:szCs w:val="20"/>
        </w:rPr>
        <w:t>6.425.011.206</w:t>
      </w:r>
      <w:r w:rsidR="00683004">
        <w:rPr>
          <w:rFonts w:asciiTheme="majorHAnsi" w:hAnsiTheme="majorHAnsi" w:cstheme="majorHAnsi"/>
          <w:bCs/>
          <w:sz w:val="20"/>
          <w:szCs w:val="20"/>
        </w:rPr>
        <w:t xml:space="preserve"> KM</w:t>
      </w:r>
      <w:r w:rsidRPr="00D42DBF">
        <w:rPr>
          <w:rFonts w:asciiTheme="majorHAnsi" w:hAnsiTheme="majorHAnsi" w:cstheme="majorHAnsi"/>
        </w:rPr>
        <w:t xml:space="preserve"> prihoda od izvoza u 2021. godini (Tabela 1</w:t>
      </w:r>
      <w:r w:rsidR="00683004">
        <w:rPr>
          <w:rFonts w:asciiTheme="majorHAnsi" w:hAnsiTheme="majorHAnsi" w:cstheme="majorHAnsi"/>
        </w:rPr>
        <w:t>6</w:t>
      </w:r>
      <w:r w:rsidRPr="00D42DBF">
        <w:rPr>
          <w:rFonts w:asciiTheme="majorHAnsi" w:hAnsiTheme="majorHAnsi" w:cstheme="majorHAnsi"/>
        </w:rPr>
        <w:t>.).</w:t>
      </w:r>
    </w:p>
    <w:p w14:paraId="4B694BB7" w14:textId="1F179E4A" w:rsidR="00D14430" w:rsidRDefault="00D14430" w:rsidP="00D14430">
      <w:pPr>
        <w:pStyle w:val="Caption"/>
        <w:keepNext/>
      </w:pPr>
      <w:r>
        <w:t xml:space="preserve">Tabela </w:t>
      </w:r>
      <w:fldSimple w:instr=" SEQ Tabela \* ARABIC ">
        <w:r w:rsidR="00683004">
          <w:rPr>
            <w:noProof/>
          </w:rPr>
          <w:t>16</w:t>
        </w:r>
      </w:fldSimple>
      <w:r>
        <w:t xml:space="preserve">. </w:t>
      </w:r>
      <w:r w:rsidRPr="00561F3E">
        <w:t>Izvoz M</w:t>
      </w:r>
      <w:r>
        <w:t>M</w:t>
      </w:r>
      <w:r w:rsidRPr="00561F3E">
        <w:t>SP po kantonima</w:t>
      </w:r>
      <w:r>
        <w:t xml:space="preserve"> FBiH u periodu 2018.-2021. godna</w:t>
      </w:r>
    </w:p>
    <w:tbl>
      <w:tblPr>
        <w:tblStyle w:val="GridTable6Colorful-Accent3"/>
        <w:tblW w:w="9300" w:type="dxa"/>
        <w:tblLayout w:type="fixed"/>
        <w:tblLook w:val="0400" w:firstRow="0" w:lastRow="0" w:firstColumn="0" w:lastColumn="0" w:noHBand="0" w:noVBand="1"/>
      </w:tblPr>
      <w:tblGrid>
        <w:gridCol w:w="2840"/>
        <w:gridCol w:w="1640"/>
        <w:gridCol w:w="1640"/>
        <w:gridCol w:w="1540"/>
        <w:gridCol w:w="1640"/>
      </w:tblGrid>
      <w:tr w:rsidR="004C5A0C" w:rsidRPr="00683004" w14:paraId="0597E06E" w14:textId="77777777" w:rsidTr="00D14430">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BCD9DE" w:themeFill="accent5" w:themeFillTint="66"/>
          </w:tcPr>
          <w:p w14:paraId="075A5265" w14:textId="77777777" w:rsidR="004C5A0C" w:rsidRPr="00683004" w:rsidRDefault="004C5A0C" w:rsidP="004C5A0C">
            <w:pPr>
              <w:jc w:val="center"/>
              <w:rPr>
                <w:rFonts w:asciiTheme="majorHAnsi" w:hAnsiTheme="majorHAnsi" w:cstheme="majorHAnsi"/>
                <w:b/>
                <w:color w:val="auto"/>
                <w:sz w:val="20"/>
                <w:szCs w:val="20"/>
              </w:rPr>
            </w:pPr>
            <w:r w:rsidRPr="00683004">
              <w:rPr>
                <w:rFonts w:asciiTheme="majorHAnsi" w:hAnsiTheme="majorHAnsi" w:cstheme="majorHAnsi"/>
                <w:b/>
                <w:color w:val="auto"/>
                <w:sz w:val="20"/>
                <w:szCs w:val="20"/>
              </w:rPr>
              <w:t>Kanton</w:t>
            </w:r>
          </w:p>
        </w:tc>
        <w:tc>
          <w:tcPr>
            <w:tcW w:w="1640" w:type="dxa"/>
            <w:shd w:val="clear" w:color="auto" w:fill="BCD9DE" w:themeFill="accent5" w:themeFillTint="66"/>
          </w:tcPr>
          <w:p w14:paraId="2F179860" w14:textId="77777777" w:rsidR="004C5A0C" w:rsidRPr="00683004" w:rsidRDefault="004C5A0C" w:rsidP="004C5A0C">
            <w:pPr>
              <w:jc w:val="cente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2018</w:t>
            </w:r>
          </w:p>
        </w:tc>
        <w:tc>
          <w:tcPr>
            <w:tcW w:w="1640" w:type="dxa"/>
            <w:shd w:val="clear" w:color="auto" w:fill="BCD9DE" w:themeFill="accent5" w:themeFillTint="66"/>
          </w:tcPr>
          <w:p w14:paraId="373D70BE" w14:textId="77777777" w:rsidR="004C5A0C" w:rsidRPr="00683004" w:rsidRDefault="004C5A0C" w:rsidP="004C5A0C">
            <w:pPr>
              <w:jc w:val="cente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2019</w:t>
            </w:r>
          </w:p>
        </w:tc>
        <w:tc>
          <w:tcPr>
            <w:tcW w:w="1540" w:type="dxa"/>
            <w:shd w:val="clear" w:color="auto" w:fill="BCD9DE" w:themeFill="accent5" w:themeFillTint="66"/>
          </w:tcPr>
          <w:p w14:paraId="4B1B0902" w14:textId="77777777" w:rsidR="004C5A0C" w:rsidRPr="00683004" w:rsidRDefault="004C5A0C" w:rsidP="004C5A0C">
            <w:pPr>
              <w:jc w:val="cente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2020</w:t>
            </w:r>
          </w:p>
        </w:tc>
        <w:tc>
          <w:tcPr>
            <w:tcW w:w="1640" w:type="dxa"/>
            <w:shd w:val="clear" w:color="auto" w:fill="BCD9DE" w:themeFill="accent5" w:themeFillTint="66"/>
          </w:tcPr>
          <w:p w14:paraId="67355F5A" w14:textId="77777777" w:rsidR="004C5A0C" w:rsidRPr="00683004" w:rsidRDefault="004C5A0C" w:rsidP="004C5A0C">
            <w:pPr>
              <w:jc w:val="center"/>
              <w:rPr>
                <w:rFonts w:asciiTheme="majorHAnsi" w:hAnsiTheme="majorHAnsi" w:cstheme="majorHAnsi"/>
                <w:b/>
                <w:color w:val="000000"/>
                <w:sz w:val="20"/>
                <w:szCs w:val="20"/>
              </w:rPr>
            </w:pPr>
            <w:r w:rsidRPr="00683004">
              <w:rPr>
                <w:rFonts w:asciiTheme="majorHAnsi" w:hAnsiTheme="majorHAnsi" w:cstheme="majorHAnsi"/>
                <w:b/>
                <w:color w:val="000000"/>
                <w:sz w:val="20"/>
                <w:szCs w:val="20"/>
              </w:rPr>
              <w:t>2021</w:t>
            </w:r>
          </w:p>
        </w:tc>
      </w:tr>
      <w:tr w:rsidR="00C16E19" w:rsidRPr="00683004" w14:paraId="040B84C9" w14:textId="77777777" w:rsidTr="00D14430">
        <w:trPr>
          <w:trHeight w:val="315"/>
        </w:trPr>
        <w:tc>
          <w:tcPr>
            <w:tcW w:w="2840" w:type="dxa"/>
            <w:shd w:val="clear" w:color="auto" w:fill="auto"/>
          </w:tcPr>
          <w:p w14:paraId="2E89A28B"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Unsko sanski</w:t>
            </w:r>
          </w:p>
        </w:tc>
        <w:tc>
          <w:tcPr>
            <w:tcW w:w="1640" w:type="dxa"/>
            <w:shd w:val="clear" w:color="auto" w:fill="auto"/>
          </w:tcPr>
          <w:p w14:paraId="712D8C61" w14:textId="6B6156DF"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273.500.976 </w:t>
            </w:r>
          </w:p>
        </w:tc>
        <w:tc>
          <w:tcPr>
            <w:tcW w:w="1640" w:type="dxa"/>
            <w:shd w:val="clear" w:color="auto" w:fill="auto"/>
          </w:tcPr>
          <w:p w14:paraId="7B6F55ED" w14:textId="33C73FDA"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308.038.660 </w:t>
            </w:r>
          </w:p>
        </w:tc>
        <w:tc>
          <w:tcPr>
            <w:tcW w:w="1540" w:type="dxa"/>
            <w:shd w:val="clear" w:color="auto" w:fill="auto"/>
          </w:tcPr>
          <w:p w14:paraId="79406C7D" w14:textId="7AE1FA20"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253.906.401 </w:t>
            </w:r>
          </w:p>
        </w:tc>
        <w:tc>
          <w:tcPr>
            <w:tcW w:w="1640" w:type="dxa"/>
            <w:shd w:val="clear" w:color="auto" w:fill="auto"/>
          </w:tcPr>
          <w:p w14:paraId="378F004E" w14:textId="691E3E48"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329.427.234 </w:t>
            </w:r>
          </w:p>
        </w:tc>
      </w:tr>
      <w:tr w:rsidR="00C16E19" w:rsidRPr="00683004" w14:paraId="78C5EB63" w14:textId="77777777" w:rsidTr="00D14430">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48F1BB55"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Posavski</w:t>
            </w:r>
          </w:p>
        </w:tc>
        <w:tc>
          <w:tcPr>
            <w:tcW w:w="1640" w:type="dxa"/>
            <w:shd w:val="clear" w:color="auto" w:fill="auto"/>
          </w:tcPr>
          <w:p w14:paraId="7CAC7B13" w14:textId="167F6AC8"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116.514.273 </w:t>
            </w:r>
          </w:p>
        </w:tc>
        <w:tc>
          <w:tcPr>
            <w:tcW w:w="1640" w:type="dxa"/>
            <w:shd w:val="clear" w:color="auto" w:fill="auto"/>
          </w:tcPr>
          <w:p w14:paraId="7FFA87E0" w14:textId="2229EBB9"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101.178.142 </w:t>
            </w:r>
          </w:p>
        </w:tc>
        <w:tc>
          <w:tcPr>
            <w:tcW w:w="1540" w:type="dxa"/>
            <w:shd w:val="clear" w:color="auto" w:fill="auto"/>
          </w:tcPr>
          <w:p w14:paraId="493BA5DE" w14:textId="13FBE21A"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98.019.028 </w:t>
            </w:r>
          </w:p>
        </w:tc>
        <w:tc>
          <w:tcPr>
            <w:tcW w:w="1640" w:type="dxa"/>
            <w:shd w:val="clear" w:color="auto" w:fill="auto"/>
          </w:tcPr>
          <w:p w14:paraId="10571B7B" w14:textId="2CAAAACB"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129.691.650 </w:t>
            </w:r>
          </w:p>
        </w:tc>
      </w:tr>
      <w:tr w:rsidR="00C16E19" w:rsidRPr="00683004" w14:paraId="42C8F0BA" w14:textId="77777777" w:rsidTr="00D14430">
        <w:trPr>
          <w:trHeight w:val="315"/>
        </w:trPr>
        <w:tc>
          <w:tcPr>
            <w:tcW w:w="2840" w:type="dxa"/>
            <w:shd w:val="clear" w:color="auto" w:fill="auto"/>
          </w:tcPr>
          <w:p w14:paraId="5BE42D86"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Tuzlanski</w:t>
            </w:r>
          </w:p>
        </w:tc>
        <w:tc>
          <w:tcPr>
            <w:tcW w:w="1640" w:type="dxa"/>
            <w:shd w:val="clear" w:color="auto" w:fill="auto"/>
          </w:tcPr>
          <w:p w14:paraId="5BB3518F" w14:textId="4CBD811F"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724.623.444 </w:t>
            </w:r>
          </w:p>
        </w:tc>
        <w:tc>
          <w:tcPr>
            <w:tcW w:w="1640" w:type="dxa"/>
            <w:shd w:val="clear" w:color="auto" w:fill="auto"/>
          </w:tcPr>
          <w:p w14:paraId="094CB9AA" w14:textId="72CB71EA"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824.589.756 </w:t>
            </w:r>
          </w:p>
        </w:tc>
        <w:tc>
          <w:tcPr>
            <w:tcW w:w="1540" w:type="dxa"/>
            <w:shd w:val="clear" w:color="auto" w:fill="auto"/>
          </w:tcPr>
          <w:p w14:paraId="5F7B52A6" w14:textId="3F82033A"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823.409.803 </w:t>
            </w:r>
          </w:p>
        </w:tc>
        <w:tc>
          <w:tcPr>
            <w:tcW w:w="1640" w:type="dxa"/>
            <w:shd w:val="clear" w:color="auto" w:fill="auto"/>
          </w:tcPr>
          <w:p w14:paraId="191E845F" w14:textId="3990FE6B"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1.010.404.413 </w:t>
            </w:r>
          </w:p>
        </w:tc>
      </w:tr>
      <w:tr w:rsidR="00C16E19" w:rsidRPr="00683004" w14:paraId="34E77636" w14:textId="77777777" w:rsidTr="00D14430">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31C7DC99"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Zeničko dobojski</w:t>
            </w:r>
          </w:p>
        </w:tc>
        <w:tc>
          <w:tcPr>
            <w:tcW w:w="1640" w:type="dxa"/>
            <w:shd w:val="clear" w:color="auto" w:fill="auto"/>
          </w:tcPr>
          <w:p w14:paraId="5B66A8EE" w14:textId="7B76437B"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1.070.565.690 </w:t>
            </w:r>
          </w:p>
        </w:tc>
        <w:tc>
          <w:tcPr>
            <w:tcW w:w="1640" w:type="dxa"/>
            <w:shd w:val="clear" w:color="auto" w:fill="auto"/>
          </w:tcPr>
          <w:p w14:paraId="0C6B9A04" w14:textId="5A28BF44"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896.922.065 </w:t>
            </w:r>
          </w:p>
        </w:tc>
        <w:tc>
          <w:tcPr>
            <w:tcW w:w="1540" w:type="dxa"/>
            <w:shd w:val="clear" w:color="auto" w:fill="auto"/>
          </w:tcPr>
          <w:p w14:paraId="17003FFB" w14:textId="3EDAAC37"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809.623.139 </w:t>
            </w:r>
          </w:p>
        </w:tc>
        <w:tc>
          <w:tcPr>
            <w:tcW w:w="1640" w:type="dxa"/>
            <w:shd w:val="clear" w:color="auto" w:fill="auto"/>
          </w:tcPr>
          <w:p w14:paraId="7FA34052" w14:textId="2EF0135D"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1.053.980.654 </w:t>
            </w:r>
          </w:p>
        </w:tc>
      </w:tr>
      <w:tr w:rsidR="00C16E19" w:rsidRPr="00683004" w14:paraId="6DF95458" w14:textId="77777777" w:rsidTr="00D14430">
        <w:trPr>
          <w:trHeight w:val="315"/>
        </w:trPr>
        <w:tc>
          <w:tcPr>
            <w:tcW w:w="2840" w:type="dxa"/>
            <w:shd w:val="clear" w:color="auto" w:fill="auto"/>
          </w:tcPr>
          <w:p w14:paraId="2EAEC92A"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Bosansko - podrinjski</w:t>
            </w:r>
          </w:p>
        </w:tc>
        <w:tc>
          <w:tcPr>
            <w:tcW w:w="1640" w:type="dxa"/>
            <w:shd w:val="clear" w:color="auto" w:fill="auto"/>
          </w:tcPr>
          <w:p w14:paraId="0268180B" w14:textId="30B7D8C4"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55.885.172 </w:t>
            </w:r>
          </w:p>
        </w:tc>
        <w:tc>
          <w:tcPr>
            <w:tcW w:w="1640" w:type="dxa"/>
            <w:shd w:val="clear" w:color="auto" w:fill="auto"/>
          </w:tcPr>
          <w:p w14:paraId="6E6F11EB" w14:textId="60F6814E"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44.315.397 </w:t>
            </w:r>
          </w:p>
        </w:tc>
        <w:tc>
          <w:tcPr>
            <w:tcW w:w="1540" w:type="dxa"/>
            <w:shd w:val="clear" w:color="auto" w:fill="auto"/>
          </w:tcPr>
          <w:p w14:paraId="360F5FDB" w14:textId="76616E15"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44.970.862 </w:t>
            </w:r>
          </w:p>
        </w:tc>
        <w:tc>
          <w:tcPr>
            <w:tcW w:w="1640" w:type="dxa"/>
            <w:shd w:val="clear" w:color="auto" w:fill="auto"/>
          </w:tcPr>
          <w:p w14:paraId="06DD2C4E" w14:textId="49AD7B92"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89.979.488 </w:t>
            </w:r>
          </w:p>
        </w:tc>
      </w:tr>
      <w:tr w:rsidR="00C16E19" w:rsidRPr="00683004" w14:paraId="0550634D" w14:textId="77777777" w:rsidTr="00D14430">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1125B406"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Srednjobosanski</w:t>
            </w:r>
          </w:p>
        </w:tc>
        <w:tc>
          <w:tcPr>
            <w:tcW w:w="1640" w:type="dxa"/>
            <w:shd w:val="clear" w:color="auto" w:fill="auto"/>
          </w:tcPr>
          <w:p w14:paraId="6E780DFD" w14:textId="52D6B29B"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399.060.205 </w:t>
            </w:r>
          </w:p>
        </w:tc>
        <w:tc>
          <w:tcPr>
            <w:tcW w:w="1640" w:type="dxa"/>
            <w:shd w:val="clear" w:color="auto" w:fill="auto"/>
          </w:tcPr>
          <w:p w14:paraId="0EBD8B83" w14:textId="2B837097"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395.561.199 </w:t>
            </w:r>
          </w:p>
        </w:tc>
        <w:tc>
          <w:tcPr>
            <w:tcW w:w="1540" w:type="dxa"/>
            <w:shd w:val="clear" w:color="auto" w:fill="auto"/>
          </w:tcPr>
          <w:p w14:paraId="189DE9F3" w14:textId="7E716730"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428.670.731 </w:t>
            </w:r>
          </w:p>
        </w:tc>
        <w:tc>
          <w:tcPr>
            <w:tcW w:w="1640" w:type="dxa"/>
            <w:shd w:val="clear" w:color="auto" w:fill="auto"/>
          </w:tcPr>
          <w:p w14:paraId="7D24BC15" w14:textId="48046647"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473.983.237 </w:t>
            </w:r>
          </w:p>
        </w:tc>
      </w:tr>
      <w:tr w:rsidR="00C16E19" w:rsidRPr="00683004" w14:paraId="5DC74507" w14:textId="77777777" w:rsidTr="00D14430">
        <w:trPr>
          <w:trHeight w:val="315"/>
        </w:trPr>
        <w:tc>
          <w:tcPr>
            <w:tcW w:w="2840" w:type="dxa"/>
            <w:shd w:val="clear" w:color="auto" w:fill="auto"/>
          </w:tcPr>
          <w:p w14:paraId="77FE2336"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Hercegovačko - neretvanski</w:t>
            </w:r>
          </w:p>
        </w:tc>
        <w:tc>
          <w:tcPr>
            <w:tcW w:w="1640" w:type="dxa"/>
            <w:shd w:val="clear" w:color="auto" w:fill="auto"/>
          </w:tcPr>
          <w:p w14:paraId="6B99CF31" w14:textId="518813D8"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399.359.119 </w:t>
            </w:r>
          </w:p>
        </w:tc>
        <w:tc>
          <w:tcPr>
            <w:tcW w:w="1640" w:type="dxa"/>
            <w:shd w:val="clear" w:color="auto" w:fill="auto"/>
          </w:tcPr>
          <w:p w14:paraId="06AE7F51" w14:textId="5AAAC93A"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428.206.962 </w:t>
            </w:r>
          </w:p>
        </w:tc>
        <w:tc>
          <w:tcPr>
            <w:tcW w:w="1540" w:type="dxa"/>
            <w:shd w:val="clear" w:color="auto" w:fill="auto"/>
          </w:tcPr>
          <w:p w14:paraId="6F570B48" w14:textId="659F056A"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352.151.379 </w:t>
            </w:r>
          </w:p>
        </w:tc>
        <w:tc>
          <w:tcPr>
            <w:tcW w:w="1640" w:type="dxa"/>
            <w:shd w:val="clear" w:color="auto" w:fill="auto"/>
          </w:tcPr>
          <w:p w14:paraId="7958C695" w14:textId="250C94D9"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943.975.400 </w:t>
            </w:r>
          </w:p>
        </w:tc>
      </w:tr>
      <w:tr w:rsidR="00C16E19" w:rsidRPr="00683004" w14:paraId="03A7DB04" w14:textId="77777777" w:rsidTr="00D14430">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40B003F8"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Zapadnohercegovački</w:t>
            </w:r>
          </w:p>
        </w:tc>
        <w:tc>
          <w:tcPr>
            <w:tcW w:w="1640" w:type="dxa"/>
            <w:shd w:val="clear" w:color="auto" w:fill="auto"/>
          </w:tcPr>
          <w:p w14:paraId="3B95268C" w14:textId="0218F967"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456.936.002 </w:t>
            </w:r>
          </w:p>
        </w:tc>
        <w:tc>
          <w:tcPr>
            <w:tcW w:w="1640" w:type="dxa"/>
            <w:shd w:val="clear" w:color="auto" w:fill="auto"/>
          </w:tcPr>
          <w:p w14:paraId="63F4A073" w14:textId="7DEF7D58"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512.206.283 </w:t>
            </w:r>
          </w:p>
        </w:tc>
        <w:tc>
          <w:tcPr>
            <w:tcW w:w="1540" w:type="dxa"/>
            <w:shd w:val="clear" w:color="auto" w:fill="auto"/>
          </w:tcPr>
          <w:p w14:paraId="3ABC4294" w14:textId="4AF1D42E"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403.943.824 </w:t>
            </w:r>
          </w:p>
        </w:tc>
        <w:tc>
          <w:tcPr>
            <w:tcW w:w="1640" w:type="dxa"/>
            <w:shd w:val="clear" w:color="auto" w:fill="auto"/>
          </w:tcPr>
          <w:p w14:paraId="635309B2" w14:textId="6E8BF9E2"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536.938.705 </w:t>
            </w:r>
          </w:p>
        </w:tc>
      </w:tr>
      <w:tr w:rsidR="00C16E19" w:rsidRPr="00683004" w14:paraId="6860D78E" w14:textId="77777777" w:rsidTr="00D14430">
        <w:trPr>
          <w:trHeight w:val="315"/>
        </w:trPr>
        <w:tc>
          <w:tcPr>
            <w:tcW w:w="2840" w:type="dxa"/>
            <w:shd w:val="clear" w:color="auto" w:fill="auto"/>
          </w:tcPr>
          <w:p w14:paraId="5989EAC3"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Kanton Sarajevo</w:t>
            </w:r>
          </w:p>
        </w:tc>
        <w:tc>
          <w:tcPr>
            <w:tcW w:w="1640" w:type="dxa"/>
            <w:shd w:val="clear" w:color="auto" w:fill="auto"/>
          </w:tcPr>
          <w:p w14:paraId="1B003187" w14:textId="55313E29"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1.036.112.443 </w:t>
            </w:r>
          </w:p>
        </w:tc>
        <w:tc>
          <w:tcPr>
            <w:tcW w:w="1640" w:type="dxa"/>
            <w:shd w:val="clear" w:color="auto" w:fill="auto"/>
          </w:tcPr>
          <w:p w14:paraId="7178D717" w14:textId="43FF08C9"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1.092.761.151 </w:t>
            </w:r>
          </w:p>
        </w:tc>
        <w:tc>
          <w:tcPr>
            <w:tcW w:w="1540" w:type="dxa"/>
            <w:shd w:val="clear" w:color="auto" w:fill="auto"/>
          </w:tcPr>
          <w:p w14:paraId="43E07F65" w14:textId="00D2F1AC"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1.095.516.053 </w:t>
            </w:r>
          </w:p>
        </w:tc>
        <w:tc>
          <w:tcPr>
            <w:tcW w:w="1640" w:type="dxa"/>
            <w:shd w:val="clear" w:color="auto" w:fill="auto"/>
          </w:tcPr>
          <w:p w14:paraId="16843137" w14:textId="5F577569"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1.715.012.515 </w:t>
            </w:r>
          </w:p>
        </w:tc>
      </w:tr>
      <w:tr w:rsidR="00C16E19" w:rsidRPr="00683004" w14:paraId="36F5257E" w14:textId="77777777" w:rsidTr="00D14430">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663A54D9" w14:textId="77777777" w:rsidR="00C16E19" w:rsidRPr="00683004" w:rsidRDefault="00C16E19" w:rsidP="00C16E19">
            <w:pPr>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K10</w:t>
            </w:r>
          </w:p>
        </w:tc>
        <w:tc>
          <w:tcPr>
            <w:tcW w:w="1640" w:type="dxa"/>
            <w:shd w:val="clear" w:color="auto" w:fill="auto"/>
          </w:tcPr>
          <w:p w14:paraId="66D6091B" w14:textId="6A73D694"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110.084.162 </w:t>
            </w:r>
          </w:p>
        </w:tc>
        <w:tc>
          <w:tcPr>
            <w:tcW w:w="1640" w:type="dxa"/>
            <w:shd w:val="clear" w:color="auto" w:fill="auto"/>
          </w:tcPr>
          <w:p w14:paraId="3C284FD0" w14:textId="7256693F"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116.698.482 </w:t>
            </w:r>
          </w:p>
        </w:tc>
        <w:tc>
          <w:tcPr>
            <w:tcW w:w="1540" w:type="dxa"/>
            <w:shd w:val="clear" w:color="auto" w:fill="auto"/>
          </w:tcPr>
          <w:p w14:paraId="718AB3D4" w14:textId="2F7D408D"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108.816.174 </w:t>
            </w:r>
          </w:p>
        </w:tc>
        <w:tc>
          <w:tcPr>
            <w:tcW w:w="1640" w:type="dxa"/>
            <w:shd w:val="clear" w:color="auto" w:fill="auto"/>
          </w:tcPr>
          <w:p w14:paraId="7121C0FA" w14:textId="02942E3F"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 xml:space="preserve">141.617.910 </w:t>
            </w:r>
          </w:p>
        </w:tc>
      </w:tr>
      <w:tr w:rsidR="00C16E19" w:rsidRPr="00683004" w14:paraId="6C06E698" w14:textId="77777777" w:rsidTr="00D14430">
        <w:trPr>
          <w:trHeight w:val="315"/>
        </w:trPr>
        <w:tc>
          <w:tcPr>
            <w:tcW w:w="2840" w:type="dxa"/>
            <w:shd w:val="clear" w:color="auto" w:fill="BCD9DE" w:themeFill="accent5" w:themeFillTint="66"/>
          </w:tcPr>
          <w:p w14:paraId="75AC1130" w14:textId="77777777" w:rsidR="00C16E19" w:rsidRPr="00683004" w:rsidRDefault="00C16E19" w:rsidP="00C16E19">
            <w:pPr>
              <w:rPr>
                <w:rFonts w:asciiTheme="majorHAnsi" w:hAnsiTheme="majorHAnsi" w:cstheme="majorHAnsi"/>
                <w:bCs/>
                <w:color w:val="000000"/>
                <w:sz w:val="20"/>
                <w:szCs w:val="20"/>
              </w:rPr>
            </w:pPr>
            <w:r w:rsidRPr="00683004">
              <w:rPr>
                <w:rFonts w:asciiTheme="majorHAnsi" w:hAnsiTheme="majorHAnsi" w:cstheme="majorHAnsi"/>
                <w:bCs/>
                <w:color w:val="000000"/>
                <w:sz w:val="20"/>
                <w:szCs w:val="20"/>
              </w:rPr>
              <w:t>Federacija BiH</w:t>
            </w:r>
          </w:p>
        </w:tc>
        <w:tc>
          <w:tcPr>
            <w:tcW w:w="1640" w:type="dxa"/>
            <w:shd w:val="clear" w:color="auto" w:fill="BCD9DE" w:themeFill="accent5" w:themeFillTint="66"/>
          </w:tcPr>
          <w:p w14:paraId="651C440A" w14:textId="7C4FD67D"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4.642.641.486</w:t>
            </w:r>
          </w:p>
        </w:tc>
        <w:tc>
          <w:tcPr>
            <w:tcW w:w="1640" w:type="dxa"/>
            <w:shd w:val="clear" w:color="auto" w:fill="BCD9DE" w:themeFill="accent5" w:themeFillTint="66"/>
          </w:tcPr>
          <w:p w14:paraId="086B192A" w14:textId="5E5F7145"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4.720.478.097</w:t>
            </w:r>
          </w:p>
        </w:tc>
        <w:tc>
          <w:tcPr>
            <w:tcW w:w="1540" w:type="dxa"/>
            <w:shd w:val="clear" w:color="auto" w:fill="BCD9DE" w:themeFill="accent5" w:themeFillTint="66"/>
          </w:tcPr>
          <w:p w14:paraId="0FB11875" w14:textId="44660471"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4.419.027.394</w:t>
            </w:r>
          </w:p>
        </w:tc>
        <w:tc>
          <w:tcPr>
            <w:tcW w:w="1640" w:type="dxa"/>
            <w:shd w:val="clear" w:color="auto" w:fill="BCD9DE" w:themeFill="accent5" w:themeFillTint="66"/>
          </w:tcPr>
          <w:p w14:paraId="1803FCD3" w14:textId="618CEAB2" w:rsidR="00C16E19" w:rsidRPr="00683004" w:rsidRDefault="00C16E19" w:rsidP="00C16E19">
            <w:pPr>
              <w:jc w:val="right"/>
              <w:rPr>
                <w:rFonts w:asciiTheme="majorHAnsi" w:hAnsiTheme="majorHAnsi" w:cstheme="majorHAnsi"/>
                <w:bCs/>
                <w:color w:val="auto"/>
                <w:sz w:val="20"/>
                <w:szCs w:val="20"/>
              </w:rPr>
            </w:pPr>
            <w:r w:rsidRPr="00683004">
              <w:rPr>
                <w:rFonts w:asciiTheme="majorHAnsi" w:hAnsiTheme="majorHAnsi" w:cstheme="majorHAnsi"/>
                <w:bCs/>
                <w:color w:val="auto"/>
                <w:sz w:val="20"/>
                <w:szCs w:val="20"/>
              </w:rPr>
              <w:t>6.425.011.206</w:t>
            </w:r>
          </w:p>
        </w:tc>
      </w:tr>
    </w:tbl>
    <w:p w14:paraId="2E3B15F9" w14:textId="77777777" w:rsidR="00A713A7" w:rsidRDefault="00A713A7" w:rsidP="00A713A7">
      <w:pPr>
        <w:rPr>
          <w:rFonts w:asciiTheme="majorHAnsi" w:hAnsiTheme="majorHAnsi" w:cstheme="majorHAnsi"/>
          <w:i/>
          <w:sz w:val="18"/>
          <w:szCs w:val="18"/>
        </w:rPr>
      </w:pPr>
      <w:r w:rsidRPr="00ED7B99">
        <w:rPr>
          <w:rFonts w:asciiTheme="majorHAnsi" w:hAnsiTheme="majorHAnsi" w:cstheme="majorHAnsi"/>
          <w:i/>
          <w:sz w:val="18"/>
          <w:szCs w:val="18"/>
        </w:rPr>
        <w:t>Izvor: BISNODE baza podataka</w:t>
      </w:r>
    </w:p>
    <w:p w14:paraId="6E28EAB7" w14:textId="26E8F86B" w:rsidR="00683004" w:rsidRDefault="00683004" w:rsidP="002C473A">
      <w:pPr>
        <w:jc w:val="both"/>
        <w:rPr>
          <w:rFonts w:asciiTheme="majorHAnsi" w:hAnsiTheme="majorHAnsi" w:cstheme="majorHAnsi"/>
        </w:rPr>
      </w:pPr>
      <w:bookmarkStart w:id="9" w:name="_heading=h.1t3h5sf" w:colFirst="0" w:colLast="0"/>
      <w:bookmarkEnd w:id="9"/>
      <w:r>
        <w:rPr>
          <w:rFonts w:asciiTheme="majorHAnsi" w:hAnsiTheme="majorHAnsi" w:cstheme="majorHAnsi"/>
        </w:rPr>
        <w:t xml:space="preserve">Iako se desio blagi pad izvoza MMSP-a FBiH u 2020. u odnosu na 2021. godinu, ukupni prihodi od izvoza u 2021. godini veći su za 38,4% u odnosu na 2018. godinu ukazujući značajnu razvojnu putanju ali i potrebu </w:t>
      </w:r>
      <w:r w:rsidRPr="005827F5">
        <w:rPr>
          <w:rFonts w:asciiTheme="majorHAnsi" w:hAnsiTheme="majorHAnsi" w:cstheme="majorHAnsi"/>
        </w:rPr>
        <w:t xml:space="preserve">za daljom podrškom internacionalizaciji MMSP-a Federacije BiH uvažavajući činjenicu, sa druge strane, da od ukupno ostvarenih prihoda MMSP-a Federacije BiH u 2021. godni njih 18% se odnosi na prihode ostvarene prodajom roba i usluga na inostranom tržitu. </w:t>
      </w:r>
      <w:r w:rsidR="008F1788" w:rsidRPr="005827F5">
        <w:rPr>
          <w:rFonts w:asciiTheme="majorHAnsi" w:hAnsiTheme="majorHAnsi" w:cstheme="majorHAnsi"/>
        </w:rPr>
        <w:t>Najveći iznos prihoda od izvoza u 2021. godini ostvarila su preduzeća iz Kantona Sarajevo (27%), a potom MMSP iz Zeničko-dobojskog (16,4%) i Tuzlanskog kantona (15,7%). Međutim, iako po obimu doprinosa ukupnim prihodima od izvoza MMSP na nivou Federacije BiH najmanja, MMSP sa područja BPK su u najvećoj mjeri izvozno-orjentisana uvažavajući udio od 38,2% prihoda od izvoza u ukupnim prihodima od prodaje MMSP sa područja ovog Kantona u 2021. godini.</w:t>
      </w:r>
    </w:p>
    <w:p w14:paraId="65BEA107" w14:textId="4FAE26E3" w:rsidR="004C5A0C" w:rsidRPr="00ED7B99" w:rsidRDefault="00A713A7" w:rsidP="002C473A">
      <w:pPr>
        <w:jc w:val="both"/>
        <w:rPr>
          <w:rFonts w:asciiTheme="majorHAnsi" w:hAnsiTheme="majorHAnsi" w:cstheme="majorHAnsi"/>
          <w:b/>
        </w:rPr>
      </w:pPr>
      <w:r w:rsidRPr="002C473A">
        <w:rPr>
          <w:rFonts w:asciiTheme="majorHAnsi" w:hAnsiTheme="majorHAnsi" w:cstheme="majorHAnsi"/>
        </w:rPr>
        <w:t>Ukupna vrijednost koju je stvorio sektor MMSP-a u Federaciji BiH odnosno bruto dodana vrijednost iskazana kao vrijednost skupa proizvedenih roba i usluga uz popust indirektnih poreza i srednje potrošnje imala je promjenljiv trend u periodu 2018.-2021. godina (Tabela 1</w:t>
      </w:r>
      <w:r w:rsidR="008F1788">
        <w:rPr>
          <w:rFonts w:asciiTheme="majorHAnsi" w:hAnsiTheme="majorHAnsi" w:cstheme="majorHAnsi"/>
        </w:rPr>
        <w:t>7</w:t>
      </w:r>
      <w:r w:rsidRPr="002C473A">
        <w:rPr>
          <w:rFonts w:asciiTheme="majorHAnsi" w:hAnsiTheme="majorHAnsi" w:cstheme="majorHAnsi"/>
        </w:rPr>
        <w:t>.). Nakon rasta BDV-a MMSP-u FBiH u 2019. u odnosu na 2018. godinu BDV je u 2020. godini pala za 4% u odnosu na 2019. godinu ali je i dalje bila veća u odnosu na 2018. godinu.</w:t>
      </w:r>
    </w:p>
    <w:p w14:paraId="70523A0C" w14:textId="47AAE9B3" w:rsidR="002C473A" w:rsidRDefault="002C473A" w:rsidP="002C473A">
      <w:pPr>
        <w:pStyle w:val="Caption"/>
        <w:keepNext/>
      </w:pPr>
      <w:r>
        <w:t xml:space="preserve">Tabela </w:t>
      </w:r>
      <w:fldSimple w:instr=" SEQ Tabela \* ARABIC ">
        <w:r w:rsidR="008F1788">
          <w:rPr>
            <w:noProof/>
          </w:rPr>
          <w:t>17</w:t>
        </w:r>
      </w:fldSimple>
      <w:r>
        <w:t xml:space="preserve">. </w:t>
      </w:r>
      <w:r w:rsidRPr="00A946D3">
        <w:t>Bruto dodana vrijednost MMSP-a po kantonima FBiH u periodu 2018.-2021. godina</w:t>
      </w:r>
    </w:p>
    <w:tbl>
      <w:tblPr>
        <w:tblStyle w:val="GridTable1Light-Accent2"/>
        <w:tblW w:w="9300" w:type="dxa"/>
        <w:tblLayout w:type="fixed"/>
        <w:tblLook w:val="0400" w:firstRow="0" w:lastRow="0" w:firstColumn="0" w:lastColumn="0" w:noHBand="0" w:noVBand="1"/>
      </w:tblPr>
      <w:tblGrid>
        <w:gridCol w:w="2840"/>
        <w:gridCol w:w="1640"/>
        <w:gridCol w:w="1640"/>
        <w:gridCol w:w="1540"/>
        <w:gridCol w:w="1640"/>
      </w:tblGrid>
      <w:tr w:rsidR="004C5A0C" w:rsidRPr="008F1788" w14:paraId="6BAE4272" w14:textId="77777777" w:rsidTr="002C473A">
        <w:trPr>
          <w:trHeight w:val="315"/>
        </w:trPr>
        <w:tc>
          <w:tcPr>
            <w:tcW w:w="2840" w:type="dxa"/>
            <w:shd w:val="clear" w:color="auto" w:fill="BCD9DE" w:themeFill="accent5" w:themeFillTint="66"/>
          </w:tcPr>
          <w:p w14:paraId="5AE8324A" w14:textId="77777777" w:rsidR="004C5A0C" w:rsidRPr="008F1788" w:rsidRDefault="004C5A0C" w:rsidP="004C5A0C">
            <w:pPr>
              <w:jc w:val="center"/>
              <w:rPr>
                <w:rFonts w:asciiTheme="majorHAnsi" w:hAnsiTheme="majorHAnsi" w:cstheme="majorHAnsi"/>
                <w:b/>
                <w:color w:val="000000"/>
                <w:sz w:val="20"/>
                <w:szCs w:val="20"/>
              </w:rPr>
            </w:pPr>
            <w:r w:rsidRPr="008F1788">
              <w:rPr>
                <w:rFonts w:asciiTheme="majorHAnsi" w:hAnsiTheme="majorHAnsi" w:cstheme="majorHAnsi"/>
                <w:b/>
                <w:color w:val="000000"/>
                <w:sz w:val="20"/>
                <w:szCs w:val="20"/>
              </w:rPr>
              <w:t>Kanton</w:t>
            </w:r>
          </w:p>
        </w:tc>
        <w:tc>
          <w:tcPr>
            <w:tcW w:w="1640" w:type="dxa"/>
            <w:shd w:val="clear" w:color="auto" w:fill="BCD9DE" w:themeFill="accent5" w:themeFillTint="66"/>
          </w:tcPr>
          <w:p w14:paraId="18DE2C55" w14:textId="77777777" w:rsidR="004C5A0C" w:rsidRPr="008F1788" w:rsidRDefault="004C5A0C" w:rsidP="004C5A0C">
            <w:pPr>
              <w:jc w:val="center"/>
              <w:rPr>
                <w:rFonts w:asciiTheme="majorHAnsi" w:hAnsiTheme="majorHAnsi" w:cstheme="majorHAnsi"/>
                <w:b/>
                <w:color w:val="000000"/>
                <w:sz w:val="20"/>
                <w:szCs w:val="20"/>
              </w:rPr>
            </w:pPr>
            <w:r w:rsidRPr="008F1788">
              <w:rPr>
                <w:rFonts w:asciiTheme="majorHAnsi" w:hAnsiTheme="majorHAnsi" w:cstheme="majorHAnsi"/>
                <w:b/>
                <w:color w:val="000000"/>
                <w:sz w:val="20"/>
                <w:szCs w:val="20"/>
              </w:rPr>
              <w:t>2018</w:t>
            </w:r>
          </w:p>
        </w:tc>
        <w:tc>
          <w:tcPr>
            <w:tcW w:w="1640" w:type="dxa"/>
            <w:shd w:val="clear" w:color="auto" w:fill="BCD9DE" w:themeFill="accent5" w:themeFillTint="66"/>
          </w:tcPr>
          <w:p w14:paraId="1E577E7D" w14:textId="77777777" w:rsidR="004C5A0C" w:rsidRPr="008F1788" w:rsidRDefault="004C5A0C" w:rsidP="004C5A0C">
            <w:pPr>
              <w:jc w:val="center"/>
              <w:rPr>
                <w:rFonts w:asciiTheme="majorHAnsi" w:hAnsiTheme="majorHAnsi" w:cstheme="majorHAnsi"/>
                <w:b/>
                <w:color w:val="000000"/>
                <w:sz w:val="20"/>
                <w:szCs w:val="20"/>
              </w:rPr>
            </w:pPr>
            <w:r w:rsidRPr="008F1788">
              <w:rPr>
                <w:rFonts w:asciiTheme="majorHAnsi" w:hAnsiTheme="majorHAnsi" w:cstheme="majorHAnsi"/>
                <w:b/>
                <w:color w:val="000000"/>
                <w:sz w:val="20"/>
                <w:szCs w:val="20"/>
              </w:rPr>
              <w:t>2019</w:t>
            </w:r>
          </w:p>
        </w:tc>
        <w:tc>
          <w:tcPr>
            <w:tcW w:w="1540" w:type="dxa"/>
            <w:shd w:val="clear" w:color="auto" w:fill="BCD9DE" w:themeFill="accent5" w:themeFillTint="66"/>
          </w:tcPr>
          <w:p w14:paraId="1D9C5170" w14:textId="77777777" w:rsidR="004C5A0C" w:rsidRPr="008F1788" w:rsidRDefault="004C5A0C" w:rsidP="004C5A0C">
            <w:pPr>
              <w:jc w:val="center"/>
              <w:rPr>
                <w:rFonts w:asciiTheme="majorHAnsi" w:hAnsiTheme="majorHAnsi" w:cstheme="majorHAnsi"/>
                <w:b/>
                <w:color w:val="000000"/>
                <w:sz w:val="20"/>
                <w:szCs w:val="20"/>
              </w:rPr>
            </w:pPr>
            <w:r w:rsidRPr="008F1788">
              <w:rPr>
                <w:rFonts w:asciiTheme="majorHAnsi" w:hAnsiTheme="majorHAnsi" w:cstheme="majorHAnsi"/>
                <w:b/>
                <w:color w:val="000000"/>
                <w:sz w:val="20"/>
                <w:szCs w:val="20"/>
              </w:rPr>
              <w:t>2020</w:t>
            </w:r>
          </w:p>
        </w:tc>
        <w:tc>
          <w:tcPr>
            <w:tcW w:w="1640" w:type="dxa"/>
            <w:shd w:val="clear" w:color="auto" w:fill="BCD9DE" w:themeFill="accent5" w:themeFillTint="66"/>
          </w:tcPr>
          <w:p w14:paraId="10ECE8DE" w14:textId="77777777" w:rsidR="004C5A0C" w:rsidRPr="008F1788" w:rsidRDefault="004C5A0C" w:rsidP="004C5A0C">
            <w:pPr>
              <w:jc w:val="center"/>
              <w:rPr>
                <w:rFonts w:asciiTheme="majorHAnsi" w:hAnsiTheme="majorHAnsi" w:cstheme="majorHAnsi"/>
                <w:b/>
                <w:color w:val="000000"/>
                <w:sz w:val="20"/>
                <w:szCs w:val="20"/>
              </w:rPr>
            </w:pPr>
            <w:r w:rsidRPr="008F1788">
              <w:rPr>
                <w:rFonts w:asciiTheme="majorHAnsi" w:hAnsiTheme="majorHAnsi" w:cstheme="majorHAnsi"/>
                <w:b/>
                <w:color w:val="000000"/>
                <w:sz w:val="20"/>
                <w:szCs w:val="20"/>
              </w:rPr>
              <w:t>2021</w:t>
            </w:r>
          </w:p>
        </w:tc>
      </w:tr>
      <w:tr w:rsidR="004C5A0C" w:rsidRPr="008F1788" w14:paraId="02B567AF" w14:textId="77777777" w:rsidTr="002C473A">
        <w:trPr>
          <w:trHeight w:val="315"/>
        </w:trPr>
        <w:tc>
          <w:tcPr>
            <w:tcW w:w="2840" w:type="dxa"/>
          </w:tcPr>
          <w:p w14:paraId="1737F94A"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t>Unsko sanski</w:t>
            </w:r>
          </w:p>
        </w:tc>
        <w:tc>
          <w:tcPr>
            <w:tcW w:w="1640" w:type="dxa"/>
          </w:tcPr>
          <w:p w14:paraId="596358AF"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442.909.769 </w:t>
            </w:r>
          </w:p>
        </w:tc>
        <w:tc>
          <w:tcPr>
            <w:tcW w:w="1640" w:type="dxa"/>
          </w:tcPr>
          <w:p w14:paraId="534E1261"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478.778.130 </w:t>
            </w:r>
          </w:p>
        </w:tc>
        <w:tc>
          <w:tcPr>
            <w:tcW w:w="1540" w:type="dxa"/>
          </w:tcPr>
          <w:p w14:paraId="75240726"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467.536.519 </w:t>
            </w:r>
          </w:p>
        </w:tc>
        <w:tc>
          <w:tcPr>
            <w:tcW w:w="1640" w:type="dxa"/>
          </w:tcPr>
          <w:p w14:paraId="02333CF0"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597.678.407 </w:t>
            </w:r>
          </w:p>
        </w:tc>
      </w:tr>
      <w:tr w:rsidR="004C5A0C" w:rsidRPr="008F1788" w14:paraId="1F6CCF9D" w14:textId="77777777" w:rsidTr="002C473A">
        <w:trPr>
          <w:trHeight w:val="315"/>
        </w:trPr>
        <w:tc>
          <w:tcPr>
            <w:tcW w:w="2840" w:type="dxa"/>
          </w:tcPr>
          <w:p w14:paraId="0457434D"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t>Posavski</w:t>
            </w:r>
          </w:p>
        </w:tc>
        <w:tc>
          <w:tcPr>
            <w:tcW w:w="1640" w:type="dxa"/>
          </w:tcPr>
          <w:p w14:paraId="22BD9738"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90.393.468 </w:t>
            </w:r>
          </w:p>
        </w:tc>
        <w:tc>
          <w:tcPr>
            <w:tcW w:w="1640" w:type="dxa"/>
          </w:tcPr>
          <w:p w14:paraId="5E5EFEAC"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92.220.405 </w:t>
            </w:r>
          </w:p>
        </w:tc>
        <w:tc>
          <w:tcPr>
            <w:tcW w:w="1540" w:type="dxa"/>
          </w:tcPr>
          <w:p w14:paraId="7D5CE981"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87.673.652 </w:t>
            </w:r>
          </w:p>
        </w:tc>
        <w:tc>
          <w:tcPr>
            <w:tcW w:w="1640" w:type="dxa"/>
          </w:tcPr>
          <w:p w14:paraId="7076FA4A"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105.187.926 </w:t>
            </w:r>
          </w:p>
        </w:tc>
      </w:tr>
      <w:tr w:rsidR="004C5A0C" w:rsidRPr="008F1788" w14:paraId="2C1CB9C9" w14:textId="77777777" w:rsidTr="002C473A">
        <w:trPr>
          <w:trHeight w:val="315"/>
        </w:trPr>
        <w:tc>
          <w:tcPr>
            <w:tcW w:w="2840" w:type="dxa"/>
          </w:tcPr>
          <w:p w14:paraId="2C656EB6"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t>Tuzlanski</w:t>
            </w:r>
          </w:p>
        </w:tc>
        <w:tc>
          <w:tcPr>
            <w:tcW w:w="1640" w:type="dxa"/>
          </w:tcPr>
          <w:p w14:paraId="4A550A31"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1.140.372.318 </w:t>
            </w:r>
          </w:p>
        </w:tc>
        <w:tc>
          <w:tcPr>
            <w:tcW w:w="1640" w:type="dxa"/>
          </w:tcPr>
          <w:p w14:paraId="3B74DDFB"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1.276.327.659 </w:t>
            </w:r>
          </w:p>
        </w:tc>
        <w:tc>
          <w:tcPr>
            <w:tcW w:w="1540" w:type="dxa"/>
          </w:tcPr>
          <w:p w14:paraId="0D74BA68"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1.248.766.909 </w:t>
            </w:r>
          </w:p>
        </w:tc>
        <w:tc>
          <w:tcPr>
            <w:tcW w:w="1640" w:type="dxa"/>
          </w:tcPr>
          <w:p w14:paraId="521FE18D"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1.495.353.420 </w:t>
            </w:r>
          </w:p>
        </w:tc>
      </w:tr>
      <w:tr w:rsidR="004C5A0C" w:rsidRPr="008F1788" w14:paraId="3F5B455C" w14:textId="77777777" w:rsidTr="002C473A">
        <w:trPr>
          <w:trHeight w:val="315"/>
        </w:trPr>
        <w:tc>
          <w:tcPr>
            <w:tcW w:w="2840" w:type="dxa"/>
          </w:tcPr>
          <w:p w14:paraId="65102C82"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t>Zeničko dobojski</w:t>
            </w:r>
          </w:p>
        </w:tc>
        <w:tc>
          <w:tcPr>
            <w:tcW w:w="1640" w:type="dxa"/>
          </w:tcPr>
          <w:p w14:paraId="388864EC"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1.005.506.599 </w:t>
            </w:r>
          </w:p>
        </w:tc>
        <w:tc>
          <w:tcPr>
            <w:tcW w:w="1640" w:type="dxa"/>
          </w:tcPr>
          <w:p w14:paraId="63948893"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1.023.125.724 </w:t>
            </w:r>
          </w:p>
        </w:tc>
        <w:tc>
          <w:tcPr>
            <w:tcW w:w="1540" w:type="dxa"/>
          </w:tcPr>
          <w:p w14:paraId="54485D3F"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1.115.395.529 </w:t>
            </w:r>
          </w:p>
        </w:tc>
        <w:tc>
          <w:tcPr>
            <w:tcW w:w="1640" w:type="dxa"/>
          </w:tcPr>
          <w:p w14:paraId="772E1EAA"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1.261.145.521 </w:t>
            </w:r>
          </w:p>
        </w:tc>
      </w:tr>
      <w:tr w:rsidR="004C5A0C" w:rsidRPr="008F1788" w14:paraId="4EBEE770" w14:textId="77777777" w:rsidTr="002C473A">
        <w:trPr>
          <w:trHeight w:val="315"/>
        </w:trPr>
        <w:tc>
          <w:tcPr>
            <w:tcW w:w="2840" w:type="dxa"/>
          </w:tcPr>
          <w:p w14:paraId="2B80BFF4"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t>Bosansko - podrinjski</w:t>
            </w:r>
          </w:p>
        </w:tc>
        <w:tc>
          <w:tcPr>
            <w:tcW w:w="1640" w:type="dxa"/>
          </w:tcPr>
          <w:p w14:paraId="0550ABD7"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63.536.974 </w:t>
            </w:r>
          </w:p>
        </w:tc>
        <w:tc>
          <w:tcPr>
            <w:tcW w:w="1640" w:type="dxa"/>
          </w:tcPr>
          <w:p w14:paraId="02DD136D"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68.235.429 </w:t>
            </w:r>
          </w:p>
        </w:tc>
        <w:tc>
          <w:tcPr>
            <w:tcW w:w="1540" w:type="dxa"/>
          </w:tcPr>
          <w:p w14:paraId="763EF88A"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63.443.374 </w:t>
            </w:r>
          </w:p>
        </w:tc>
        <w:tc>
          <w:tcPr>
            <w:tcW w:w="1640" w:type="dxa"/>
          </w:tcPr>
          <w:p w14:paraId="68D1ABF6"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79.897.793 </w:t>
            </w:r>
          </w:p>
        </w:tc>
      </w:tr>
      <w:tr w:rsidR="004C5A0C" w:rsidRPr="008F1788" w14:paraId="613E5AAC" w14:textId="77777777" w:rsidTr="002C473A">
        <w:trPr>
          <w:trHeight w:val="315"/>
        </w:trPr>
        <w:tc>
          <w:tcPr>
            <w:tcW w:w="2840" w:type="dxa"/>
          </w:tcPr>
          <w:p w14:paraId="0CC1A32F"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t>Srednjobosanski</w:t>
            </w:r>
          </w:p>
        </w:tc>
        <w:tc>
          <w:tcPr>
            <w:tcW w:w="1640" w:type="dxa"/>
          </w:tcPr>
          <w:p w14:paraId="7B9E0056"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574.359.405 </w:t>
            </w:r>
          </w:p>
        </w:tc>
        <w:tc>
          <w:tcPr>
            <w:tcW w:w="1640" w:type="dxa"/>
          </w:tcPr>
          <w:p w14:paraId="777FE145"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604.845.720 </w:t>
            </w:r>
          </w:p>
        </w:tc>
        <w:tc>
          <w:tcPr>
            <w:tcW w:w="1540" w:type="dxa"/>
          </w:tcPr>
          <w:p w14:paraId="7FF201FC"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612.009.917 </w:t>
            </w:r>
          </w:p>
        </w:tc>
        <w:tc>
          <w:tcPr>
            <w:tcW w:w="1640" w:type="dxa"/>
          </w:tcPr>
          <w:p w14:paraId="02430C5F"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704.512.017 </w:t>
            </w:r>
          </w:p>
        </w:tc>
      </w:tr>
      <w:tr w:rsidR="004C5A0C" w:rsidRPr="008F1788" w14:paraId="0DE22841" w14:textId="77777777" w:rsidTr="002C473A">
        <w:trPr>
          <w:trHeight w:val="315"/>
        </w:trPr>
        <w:tc>
          <w:tcPr>
            <w:tcW w:w="2840" w:type="dxa"/>
          </w:tcPr>
          <w:p w14:paraId="3029613D"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t>Hercegovačko - neretvanski</w:t>
            </w:r>
          </w:p>
        </w:tc>
        <w:tc>
          <w:tcPr>
            <w:tcW w:w="1640" w:type="dxa"/>
          </w:tcPr>
          <w:p w14:paraId="3E842917"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708.372.090 </w:t>
            </w:r>
          </w:p>
        </w:tc>
        <w:tc>
          <w:tcPr>
            <w:tcW w:w="1640" w:type="dxa"/>
          </w:tcPr>
          <w:p w14:paraId="6F293F94"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748.631.402 </w:t>
            </w:r>
          </w:p>
        </w:tc>
        <w:tc>
          <w:tcPr>
            <w:tcW w:w="1540" w:type="dxa"/>
          </w:tcPr>
          <w:p w14:paraId="1C790402"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732.324.892 </w:t>
            </w:r>
          </w:p>
        </w:tc>
        <w:tc>
          <w:tcPr>
            <w:tcW w:w="1640" w:type="dxa"/>
          </w:tcPr>
          <w:p w14:paraId="699B8249"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908.868.300 </w:t>
            </w:r>
          </w:p>
        </w:tc>
      </w:tr>
      <w:tr w:rsidR="004C5A0C" w:rsidRPr="008F1788" w14:paraId="7856291A" w14:textId="77777777" w:rsidTr="002C473A">
        <w:trPr>
          <w:trHeight w:val="315"/>
        </w:trPr>
        <w:tc>
          <w:tcPr>
            <w:tcW w:w="2840" w:type="dxa"/>
          </w:tcPr>
          <w:p w14:paraId="382EF126"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t>Zapadnohercegovački</w:t>
            </w:r>
          </w:p>
        </w:tc>
        <w:tc>
          <w:tcPr>
            <w:tcW w:w="1640" w:type="dxa"/>
          </w:tcPr>
          <w:p w14:paraId="7BE606BC"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473.481.416 </w:t>
            </w:r>
          </w:p>
        </w:tc>
        <w:tc>
          <w:tcPr>
            <w:tcW w:w="1640" w:type="dxa"/>
          </w:tcPr>
          <w:p w14:paraId="429D4286"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595.296.926 </w:t>
            </w:r>
          </w:p>
        </w:tc>
        <w:tc>
          <w:tcPr>
            <w:tcW w:w="1540" w:type="dxa"/>
          </w:tcPr>
          <w:p w14:paraId="260DDBA2"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424.677.746 </w:t>
            </w:r>
          </w:p>
        </w:tc>
        <w:tc>
          <w:tcPr>
            <w:tcW w:w="1640" w:type="dxa"/>
          </w:tcPr>
          <w:p w14:paraId="7CAF9E3B"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508.316.603 </w:t>
            </w:r>
          </w:p>
        </w:tc>
      </w:tr>
      <w:tr w:rsidR="004C5A0C" w:rsidRPr="008F1788" w14:paraId="7AD3ED1D" w14:textId="77777777" w:rsidTr="002C473A">
        <w:trPr>
          <w:trHeight w:val="315"/>
        </w:trPr>
        <w:tc>
          <w:tcPr>
            <w:tcW w:w="2840" w:type="dxa"/>
          </w:tcPr>
          <w:p w14:paraId="1C73CB66"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lastRenderedPageBreak/>
              <w:t>Kanton Sarajevo</w:t>
            </w:r>
          </w:p>
        </w:tc>
        <w:tc>
          <w:tcPr>
            <w:tcW w:w="1640" w:type="dxa"/>
          </w:tcPr>
          <w:p w14:paraId="214ED2C3"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2.350.408.527 </w:t>
            </w:r>
          </w:p>
        </w:tc>
        <w:tc>
          <w:tcPr>
            <w:tcW w:w="1640" w:type="dxa"/>
          </w:tcPr>
          <w:p w14:paraId="67F839FC"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2.621.190.799 </w:t>
            </w:r>
          </w:p>
        </w:tc>
        <w:tc>
          <w:tcPr>
            <w:tcW w:w="1540" w:type="dxa"/>
          </w:tcPr>
          <w:p w14:paraId="38D56CC3"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2.440.931.419 </w:t>
            </w:r>
          </w:p>
        </w:tc>
        <w:tc>
          <w:tcPr>
            <w:tcW w:w="1640" w:type="dxa"/>
          </w:tcPr>
          <w:p w14:paraId="6EBA441D"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3.062.477.584 </w:t>
            </w:r>
          </w:p>
        </w:tc>
      </w:tr>
      <w:tr w:rsidR="004C5A0C" w:rsidRPr="008F1788" w14:paraId="19E52FF3" w14:textId="77777777" w:rsidTr="002C473A">
        <w:trPr>
          <w:trHeight w:val="315"/>
        </w:trPr>
        <w:tc>
          <w:tcPr>
            <w:tcW w:w="2840" w:type="dxa"/>
          </w:tcPr>
          <w:p w14:paraId="2F3C76FC" w14:textId="77777777" w:rsidR="004C5A0C" w:rsidRPr="008F1788" w:rsidRDefault="004C5A0C" w:rsidP="004C5A0C">
            <w:pPr>
              <w:rPr>
                <w:rFonts w:asciiTheme="majorHAnsi" w:hAnsiTheme="majorHAnsi" w:cstheme="majorHAnsi"/>
                <w:bCs/>
                <w:sz w:val="20"/>
                <w:szCs w:val="20"/>
              </w:rPr>
            </w:pPr>
            <w:r w:rsidRPr="008F1788">
              <w:rPr>
                <w:rFonts w:asciiTheme="majorHAnsi" w:hAnsiTheme="majorHAnsi" w:cstheme="majorHAnsi"/>
                <w:bCs/>
                <w:sz w:val="20"/>
                <w:szCs w:val="20"/>
              </w:rPr>
              <w:t>K10</w:t>
            </w:r>
          </w:p>
        </w:tc>
        <w:tc>
          <w:tcPr>
            <w:tcW w:w="1640" w:type="dxa"/>
          </w:tcPr>
          <w:p w14:paraId="3DAD685B"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111.016.763 </w:t>
            </w:r>
          </w:p>
        </w:tc>
        <w:tc>
          <w:tcPr>
            <w:tcW w:w="1640" w:type="dxa"/>
          </w:tcPr>
          <w:p w14:paraId="4089377C"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126.729.230 </w:t>
            </w:r>
          </w:p>
        </w:tc>
        <w:tc>
          <w:tcPr>
            <w:tcW w:w="1540" w:type="dxa"/>
          </w:tcPr>
          <w:p w14:paraId="6B227460"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134.361.316 </w:t>
            </w:r>
          </w:p>
        </w:tc>
        <w:tc>
          <w:tcPr>
            <w:tcW w:w="1640" w:type="dxa"/>
          </w:tcPr>
          <w:p w14:paraId="23D76908" w14:textId="77777777" w:rsidR="004C5A0C" w:rsidRPr="008F1788" w:rsidRDefault="004C5A0C" w:rsidP="004C5A0C">
            <w:pPr>
              <w:jc w:val="right"/>
              <w:rPr>
                <w:rFonts w:asciiTheme="majorHAnsi" w:hAnsiTheme="majorHAnsi" w:cstheme="majorHAnsi"/>
                <w:sz w:val="20"/>
                <w:szCs w:val="20"/>
              </w:rPr>
            </w:pPr>
            <w:r w:rsidRPr="008F1788">
              <w:rPr>
                <w:rFonts w:asciiTheme="majorHAnsi" w:eastAsia="Arial Unicode MS" w:hAnsiTheme="majorHAnsi" w:cstheme="majorHAnsi"/>
                <w:kern w:val="24"/>
                <w:sz w:val="20"/>
                <w:szCs w:val="20"/>
              </w:rPr>
              <w:t xml:space="preserve">159.770.551 </w:t>
            </w:r>
          </w:p>
        </w:tc>
      </w:tr>
      <w:tr w:rsidR="004C5A0C" w:rsidRPr="008F1788" w14:paraId="6DE91030" w14:textId="77777777" w:rsidTr="002C473A">
        <w:trPr>
          <w:trHeight w:val="315"/>
        </w:trPr>
        <w:tc>
          <w:tcPr>
            <w:tcW w:w="2840" w:type="dxa"/>
            <w:shd w:val="clear" w:color="auto" w:fill="BCD9DE" w:themeFill="accent5" w:themeFillTint="66"/>
          </w:tcPr>
          <w:p w14:paraId="086D412B" w14:textId="77777777" w:rsidR="004C5A0C" w:rsidRPr="008F1788" w:rsidRDefault="004C5A0C" w:rsidP="004C5A0C">
            <w:pPr>
              <w:rPr>
                <w:rFonts w:asciiTheme="majorHAnsi" w:hAnsiTheme="majorHAnsi" w:cstheme="majorHAnsi"/>
                <w:b/>
                <w:color w:val="000000"/>
                <w:sz w:val="20"/>
                <w:szCs w:val="20"/>
              </w:rPr>
            </w:pPr>
            <w:r w:rsidRPr="008F1788">
              <w:rPr>
                <w:rFonts w:asciiTheme="majorHAnsi" w:hAnsiTheme="majorHAnsi" w:cstheme="majorHAnsi"/>
                <w:b/>
                <w:color w:val="000000"/>
                <w:sz w:val="20"/>
                <w:szCs w:val="20"/>
              </w:rPr>
              <w:t>Federacija BiH</w:t>
            </w:r>
          </w:p>
        </w:tc>
        <w:tc>
          <w:tcPr>
            <w:tcW w:w="1640" w:type="dxa"/>
            <w:shd w:val="clear" w:color="auto" w:fill="BCD9DE" w:themeFill="accent5" w:themeFillTint="66"/>
          </w:tcPr>
          <w:p w14:paraId="6269B176" w14:textId="77777777" w:rsidR="004C5A0C" w:rsidRPr="008F1788" w:rsidRDefault="004C5A0C" w:rsidP="004C5A0C">
            <w:pPr>
              <w:jc w:val="right"/>
              <w:rPr>
                <w:rFonts w:asciiTheme="majorHAnsi" w:hAnsiTheme="majorHAnsi" w:cstheme="majorHAnsi"/>
                <w:b/>
                <w:sz w:val="20"/>
                <w:szCs w:val="20"/>
              </w:rPr>
            </w:pPr>
            <w:r w:rsidRPr="008F1788">
              <w:rPr>
                <w:rFonts w:asciiTheme="majorHAnsi" w:eastAsia="Arial Unicode MS" w:hAnsiTheme="majorHAnsi" w:cstheme="majorHAnsi"/>
                <w:b/>
                <w:kern w:val="24"/>
                <w:sz w:val="20"/>
                <w:szCs w:val="20"/>
              </w:rPr>
              <w:t>6.960.357.329</w:t>
            </w:r>
          </w:p>
        </w:tc>
        <w:tc>
          <w:tcPr>
            <w:tcW w:w="1640" w:type="dxa"/>
            <w:shd w:val="clear" w:color="auto" w:fill="BCD9DE" w:themeFill="accent5" w:themeFillTint="66"/>
          </w:tcPr>
          <w:p w14:paraId="0BC9E778" w14:textId="77777777" w:rsidR="004C5A0C" w:rsidRPr="008F1788" w:rsidRDefault="004C5A0C" w:rsidP="004C5A0C">
            <w:pPr>
              <w:jc w:val="right"/>
              <w:rPr>
                <w:rFonts w:asciiTheme="majorHAnsi" w:hAnsiTheme="majorHAnsi" w:cstheme="majorHAnsi"/>
                <w:b/>
                <w:sz w:val="20"/>
                <w:szCs w:val="20"/>
              </w:rPr>
            </w:pPr>
            <w:r w:rsidRPr="008F1788">
              <w:rPr>
                <w:rFonts w:asciiTheme="majorHAnsi" w:eastAsia="Arial Unicode MS" w:hAnsiTheme="majorHAnsi" w:cstheme="majorHAnsi"/>
                <w:b/>
                <w:kern w:val="24"/>
                <w:sz w:val="20"/>
                <w:szCs w:val="20"/>
              </w:rPr>
              <w:t>7.635.381.424</w:t>
            </w:r>
          </w:p>
        </w:tc>
        <w:tc>
          <w:tcPr>
            <w:tcW w:w="1540" w:type="dxa"/>
            <w:shd w:val="clear" w:color="auto" w:fill="BCD9DE" w:themeFill="accent5" w:themeFillTint="66"/>
          </w:tcPr>
          <w:p w14:paraId="5BC193C6" w14:textId="77777777" w:rsidR="004C5A0C" w:rsidRPr="008F1788" w:rsidRDefault="004C5A0C" w:rsidP="004C5A0C">
            <w:pPr>
              <w:jc w:val="right"/>
              <w:rPr>
                <w:rFonts w:asciiTheme="majorHAnsi" w:hAnsiTheme="majorHAnsi" w:cstheme="majorHAnsi"/>
                <w:b/>
                <w:sz w:val="20"/>
                <w:szCs w:val="20"/>
              </w:rPr>
            </w:pPr>
            <w:r w:rsidRPr="008F1788">
              <w:rPr>
                <w:rFonts w:asciiTheme="majorHAnsi" w:eastAsia="Arial Unicode MS" w:hAnsiTheme="majorHAnsi" w:cstheme="majorHAnsi"/>
                <w:b/>
                <w:kern w:val="24"/>
                <w:sz w:val="20"/>
                <w:szCs w:val="20"/>
              </w:rPr>
              <w:t>7.327.121.273</w:t>
            </w:r>
          </w:p>
        </w:tc>
        <w:tc>
          <w:tcPr>
            <w:tcW w:w="1640" w:type="dxa"/>
            <w:shd w:val="clear" w:color="auto" w:fill="BCD9DE" w:themeFill="accent5" w:themeFillTint="66"/>
          </w:tcPr>
          <w:p w14:paraId="2C4F0113" w14:textId="77777777" w:rsidR="004C5A0C" w:rsidRPr="008F1788" w:rsidRDefault="004C5A0C" w:rsidP="004C5A0C">
            <w:pPr>
              <w:jc w:val="right"/>
              <w:rPr>
                <w:rFonts w:asciiTheme="majorHAnsi" w:hAnsiTheme="majorHAnsi" w:cstheme="majorHAnsi"/>
                <w:b/>
                <w:sz w:val="20"/>
                <w:szCs w:val="20"/>
              </w:rPr>
            </w:pPr>
            <w:r w:rsidRPr="008F1788">
              <w:rPr>
                <w:rFonts w:asciiTheme="majorHAnsi" w:eastAsia="Arial Unicode MS" w:hAnsiTheme="majorHAnsi" w:cstheme="majorHAnsi"/>
                <w:b/>
                <w:kern w:val="24"/>
                <w:sz w:val="20"/>
                <w:szCs w:val="20"/>
              </w:rPr>
              <w:t>8.883.208.122</w:t>
            </w:r>
          </w:p>
        </w:tc>
      </w:tr>
    </w:tbl>
    <w:p w14:paraId="06BA274A" w14:textId="77777777" w:rsidR="002C473A" w:rsidRDefault="002C473A" w:rsidP="002C473A">
      <w:pPr>
        <w:rPr>
          <w:rFonts w:asciiTheme="majorHAnsi" w:hAnsiTheme="majorHAnsi" w:cstheme="majorHAnsi"/>
          <w:i/>
          <w:sz w:val="18"/>
          <w:szCs w:val="18"/>
        </w:rPr>
      </w:pPr>
      <w:r w:rsidRPr="00ED7B99">
        <w:rPr>
          <w:rFonts w:asciiTheme="majorHAnsi" w:hAnsiTheme="majorHAnsi" w:cstheme="majorHAnsi"/>
          <w:i/>
          <w:sz w:val="18"/>
          <w:szCs w:val="18"/>
        </w:rPr>
        <w:t>Izvor: BISNODE baza podataka</w:t>
      </w:r>
    </w:p>
    <w:p w14:paraId="3CD9AA66" w14:textId="686AF6B7" w:rsidR="004C5A0C" w:rsidRPr="002C473A" w:rsidRDefault="00A713A7" w:rsidP="004C5A0C">
      <w:pPr>
        <w:jc w:val="both"/>
        <w:rPr>
          <w:rFonts w:asciiTheme="majorHAnsi" w:hAnsiTheme="majorHAnsi" w:cstheme="majorHAnsi"/>
        </w:rPr>
      </w:pPr>
      <w:r w:rsidRPr="002C473A">
        <w:rPr>
          <w:rFonts w:asciiTheme="majorHAnsi" w:hAnsiTheme="majorHAnsi" w:cstheme="majorHAnsi"/>
        </w:rPr>
        <w:t>Svakako ohrabruje činjenica da je iznos bruto dodane vrijednosti u 2021. godini iznosila 8.883.208.122 KM što je najviši iznos BDV-a u posmatranom periodu 2018.-2021. godina. Kao i u većini pokazatelja, MMSP sa područja Kantona Sarajevo u najvećoj mjeri doprinose visinii pokazatalje bruto domaće vrijednosti, i to čak 34,5%, dok na iznos BDV-a MMSP FBiH COVID 19 pandemija nije ostavila negativan utjecaj na područja Srednjebosanskog kantona i Kantona 10, koji bilježi kontinuiran rast ovog pokazatelja od 2018. godine</w:t>
      </w:r>
      <w:r w:rsidR="00686AE4" w:rsidRPr="002C473A">
        <w:rPr>
          <w:rFonts w:asciiTheme="majorHAnsi" w:hAnsiTheme="majorHAnsi" w:cstheme="majorHAnsi"/>
        </w:rPr>
        <w:t>, čemu svakako doprinosi i preovladavajuća djelatnost MMSP na području ova dva kantona.</w:t>
      </w:r>
    </w:p>
    <w:p w14:paraId="3CF01DBD" w14:textId="4A2C0955" w:rsidR="00686AE4" w:rsidRDefault="00686AE4" w:rsidP="002C473A">
      <w:pPr>
        <w:jc w:val="both"/>
        <w:rPr>
          <w:rFonts w:asciiTheme="majorHAnsi" w:hAnsiTheme="majorHAnsi" w:cstheme="majorHAnsi"/>
        </w:rPr>
      </w:pPr>
      <w:r w:rsidRPr="002C473A">
        <w:rPr>
          <w:rFonts w:asciiTheme="majorHAnsi" w:hAnsiTheme="majorHAnsi" w:cstheme="majorHAnsi"/>
        </w:rPr>
        <w:t>Iznosi pokazatelja razlike koja proizlazi iz prihoda i rashoda preduzeća prije primjene poreza i amortizacije, između ostalih odbitaka, mikro, malih i srednjih preduzeća na nivou Federacije BH u periodu 2018.-2021. godina prikazani su u Tabeli 1</w:t>
      </w:r>
      <w:r w:rsidR="008F1788">
        <w:rPr>
          <w:rFonts w:asciiTheme="majorHAnsi" w:hAnsiTheme="majorHAnsi" w:cstheme="majorHAnsi"/>
        </w:rPr>
        <w:t>8</w:t>
      </w:r>
      <w:r w:rsidRPr="002C473A">
        <w:rPr>
          <w:rFonts w:asciiTheme="majorHAnsi" w:hAnsiTheme="majorHAnsi" w:cstheme="majorHAnsi"/>
        </w:rPr>
        <w:t xml:space="preserve">. </w:t>
      </w:r>
    </w:p>
    <w:p w14:paraId="166EE35D" w14:textId="37152653" w:rsidR="008F1788" w:rsidRDefault="008F1788" w:rsidP="002C473A">
      <w:pPr>
        <w:jc w:val="both"/>
        <w:rPr>
          <w:rFonts w:asciiTheme="majorHAnsi" w:hAnsiTheme="majorHAnsi" w:cstheme="majorHAnsi"/>
        </w:rPr>
      </w:pPr>
    </w:p>
    <w:p w14:paraId="416C1931" w14:textId="77777777" w:rsidR="008F1788" w:rsidRPr="002C473A" w:rsidRDefault="008F1788" w:rsidP="002C473A">
      <w:pPr>
        <w:jc w:val="both"/>
        <w:rPr>
          <w:rFonts w:asciiTheme="majorHAnsi" w:hAnsiTheme="majorHAnsi" w:cstheme="majorHAnsi"/>
        </w:rPr>
      </w:pPr>
    </w:p>
    <w:p w14:paraId="33A91208" w14:textId="1827CE8F" w:rsidR="002C473A" w:rsidRDefault="002C473A" w:rsidP="002C473A">
      <w:pPr>
        <w:pStyle w:val="Caption"/>
        <w:keepNext/>
      </w:pPr>
      <w:r>
        <w:t xml:space="preserve">Tabela </w:t>
      </w:r>
      <w:fldSimple w:instr=" SEQ Tabela \* ARABIC ">
        <w:r w:rsidR="008F1788">
          <w:rPr>
            <w:noProof/>
          </w:rPr>
          <w:t>18</w:t>
        </w:r>
      </w:fldSimple>
      <w:r>
        <w:t xml:space="preserve">. </w:t>
      </w:r>
      <w:r w:rsidRPr="003779E8">
        <w:t xml:space="preserve">Bruto </w:t>
      </w:r>
      <w:r>
        <w:t>finans</w:t>
      </w:r>
      <w:r w:rsidR="00096C54">
        <w:t>i</w:t>
      </w:r>
      <w:r>
        <w:t>jski rezultat</w:t>
      </w:r>
      <w:r w:rsidRPr="003779E8">
        <w:t xml:space="preserve"> MMSP-a po kantonima FBiH u periodu 2018.-2021. godina</w:t>
      </w:r>
    </w:p>
    <w:tbl>
      <w:tblPr>
        <w:tblStyle w:val="GridTable6Colorful-Accent3"/>
        <w:tblW w:w="9300" w:type="dxa"/>
        <w:tblLayout w:type="fixed"/>
        <w:tblLook w:val="0400" w:firstRow="0" w:lastRow="0" w:firstColumn="0" w:lastColumn="0" w:noHBand="0" w:noVBand="1"/>
      </w:tblPr>
      <w:tblGrid>
        <w:gridCol w:w="2840"/>
        <w:gridCol w:w="1640"/>
        <w:gridCol w:w="1640"/>
        <w:gridCol w:w="1540"/>
        <w:gridCol w:w="1640"/>
      </w:tblGrid>
      <w:tr w:rsidR="002C473A" w:rsidRPr="008F1788" w14:paraId="70A6BBB6" w14:textId="77777777" w:rsidTr="002C473A">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BCD9DE" w:themeFill="accent5" w:themeFillTint="66"/>
          </w:tcPr>
          <w:p w14:paraId="3C9272BA" w14:textId="77777777" w:rsidR="004C5A0C" w:rsidRPr="008F1788" w:rsidRDefault="004C5A0C" w:rsidP="004C5A0C">
            <w:pPr>
              <w:jc w:val="center"/>
              <w:rPr>
                <w:rFonts w:asciiTheme="majorHAnsi" w:hAnsiTheme="majorHAnsi" w:cstheme="majorHAnsi"/>
                <w:b/>
                <w:color w:val="auto"/>
                <w:sz w:val="20"/>
                <w:szCs w:val="20"/>
              </w:rPr>
            </w:pPr>
            <w:r w:rsidRPr="008F1788">
              <w:rPr>
                <w:rFonts w:asciiTheme="majorHAnsi" w:hAnsiTheme="majorHAnsi" w:cstheme="majorHAnsi"/>
                <w:b/>
                <w:color w:val="auto"/>
                <w:sz w:val="20"/>
                <w:szCs w:val="20"/>
              </w:rPr>
              <w:t>Kanton</w:t>
            </w:r>
          </w:p>
        </w:tc>
        <w:tc>
          <w:tcPr>
            <w:tcW w:w="1640" w:type="dxa"/>
            <w:shd w:val="clear" w:color="auto" w:fill="BCD9DE" w:themeFill="accent5" w:themeFillTint="66"/>
          </w:tcPr>
          <w:p w14:paraId="59482787" w14:textId="77777777" w:rsidR="004C5A0C" w:rsidRPr="008F1788" w:rsidRDefault="004C5A0C" w:rsidP="004C5A0C">
            <w:pPr>
              <w:jc w:val="center"/>
              <w:rPr>
                <w:rFonts w:asciiTheme="majorHAnsi" w:hAnsiTheme="majorHAnsi" w:cstheme="majorHAnsi"/>
                <w:b/>
                <w:color w:val="auto"/>
                <w:sz w:val="20"/>
                <w:szCs w:val="20"/>
              </w:rPr>
            </w:pPr>
            <w:r w:rsidRPr="008F1788">
              <w:rPr>
                <w:rFonts w:asciiTheme="majorHAnsi" w:hAnsiTheme="majorHAnsi" w:cstheme="majorHAnsi"/>
                <w:b/>
                <w:color w:val="auto"/>
                <w:sz w:val="20"/>
                <w:szCs w:val="20"/>
              </w:rPr>
              <w:t>2018</w:t>
            </w:r>
          </w:p>
        </w:tc>
        <w:tc>
          <w:tcPr>
            <w:tcW w:w="1640" w:type="dxa"/>
            <w:shd w:val="clear" w:color="auto" w:fill="BCD9DE" w:themeFill="accent5" w:themeFillTint="66"/>
          </w:tcPr>
          <w:p w14:paraId="40215DB4" w14:textId="77777777" w:rsidR="004C5A0C" w:rsidRPr="008F1788" w:rsidRDefault="004C5A0C" w:rsidP="004C5A0C">
            <w:pPr>
              <w:jc w:val="center"/>
              <w:rPr>
                <w:rFonts w:asciiTheme="majorHAnsi" w:hAnsiTheme="majorHAnsi" w:cstheme="majorHAnsi"/>
                <w:b/>
                <w:color w:val="auto"/>
                <w:sz w:val="20"/>
                <w:szCs w:val="20"/>
              </w:rPr>
            </w:pPr>
            <w:r w:rsidRPr="008F1788">
              <w:rPr>
                <w:rFonts w:asciiTheme="majorHAnsi" w:hAnsiTheme="majorHAnsi" w:cstheme="majorHAnsi"/>
                <w:b/>
                <w:color w:val="auto"/>
                <w:sz w:val="20"/>
                <w:szCs w:val="20"/>
              </w:rPr>
              <w:t>2019</w:t>
            </w:r>
          </w:p>
        </w:tc>
        <w:tc>
          <w:tcPr>
            <w:tcW w:w="1540" w:type="dxa"/>
            <w:shd w:val="clear" w:color="auto" w:fill="BCD9DE" w:themeFill="accent5" w:themeFillTint="66"/>
          </w:tcPr>
          <w:p w14:paraId="5B149F4D" w14:textId="77777777" w:rsidR="004C5A0C" w:rsidRPr="008F1788" w:rsidRDefault="004C5A0C" w:rsidP="004C5A0C">
            <w:pPr>
              <w:jc w:val="center"/>
              <w:rPr>
                <w:rFonts w:asciiTheme="majorHAnsi" w:hAnsiTheme="majorHAnsi" w:cstheme="majorHAnsi"/>
                <w:b/>
                <w:color w:val="auto"/>
                <w:sz w:val="20"/>
                <w:szCs w:val="20"/>
              </w:rPr>
            </w:pPr>
            <w:r w:rsidRPr="008F1788">
              <w:rPr>
                <w:rFonts w:asciiTheme="majorHAnsi" w:hAnsiTheme="majorHAnsi" w:cstheme="majorHAnsi"/>
                <w:b/>
                <w:color w:val="auto"/>
                <w:sz w:val="20"/>
                <w:szCs w:val="20"/>
              </w:rPr>
              <w:t>2020</w:t>
            </w:r>
          </w:p>
        </w:tc>
        <w:tc>
          <w:tcPr>
            <w:tcW w:w="1640" w:type="dxa"/>
            <w:shd w:val="clear" w:color="auto" w:fill="BCD9DE" w:themeFill="accent5" w:themeFillTint="66"/>
          </w:tcPr>
          <w:p w14:paraId="41302FCE" w14:textId="77777777" w:rsidR="004C5A0C" w:rsidRPr="008F1788" w:rsidRDefault="004C5A0C" w:rsidP="004C5A0C">
            <w:pPr>
              <w:jc w:val="center"/>
              <w:rPr>
                <w:rFonts w:asciiTheme="majorHAnsi" w:hAnsiTheme="majorHAnsi" w:cstheme="majorHAnsi"/>
                <w:b/>
                <w:color w:val="auto"/>
                <w:sz w:val="20"/>
                <w:szCs w:val="20"/>
              </w:rPr>
            </w:pPr>
            <w:r w:rsidRPr="008F1788">
              <w:rPr>
                <w:rFonts w:asciiTheme="majorHAnsi" w:hAnsiTheme="majorHAnsi" w:cstheme="majorHAnsi"/>
                <w:b/>
                <w:color w:val="auto"/>
                <w:sz w:val="20"/>
                <w:szCs w:val="20"/>
              </w:rPr>
              <w:t>2021</w:t>
            </w:r>
          </w:p>
        </w:tc>
      </w:tr>
      <w:tr w:rsidR="002C473A" w:rsidRPr="008F1788" w14:paraId="7CD7729B" w14:textId="77777777" w:rsidTr="002C473A">
        <w:trPr>
          <w:trHeight w:val="315"/>
        </w:trPr>
        <w:tc>
          <w:tcPr>
            <w:tcW w:w="2840" w:type="dxa"/>
            <w:shd w:val="clear" w:color="auto" w:fill="auto"/>
          </w:tcPr>
          <w:p w14:paraId="477C3911"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Unsko sanski</w:t>
            </w:r>
          </w:p>
        </w:tc>
        <w:tc>
          <w:tcPr>
            <w:tcW w:w="1640" w:type="dxa"/>
            <w:shd w:val="clear" w:color="auto" w:fill="auto"/>
          </w:tcPr>
          <w:p w14:paraId="03A61613"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55.148.800 </w:t>
            </w:r>
          </w:p>
        </w:tc>
        <w:tc>
          <w:tcPr>
            <w:tcW w:w="1640" w:type="dxa"/>
            <w:shd w:val="clear" w:color="auto" w:fill="auto"/>
          </w:tcPr>
          <w:p w14:paraId="15A982AA"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44.385.666 </w:t>
            </w:r>
          </w:p>
        </w:tc>
        <w:tc>
          <w:tcPr>
            <w:tcW w:w="1540" w:type="dxa"/>
            <w:shd w:val="clear" w:color="auto" w:fill="auto"/>
          </w:tcPr>
          <w:p w14:paraId="23066A3C"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102.225.440 </w:t>
            </w:r>
          </w:p>
        </w:tc>
        <w:tc>
          <w:tcPr>
            <w:tcW w:w="1640" w:type="dxa"/>
            <w:shd w:val="clear" w:color="auto" w:fill="auto"/>
          </w:tcPr>
          <w:p w14:paraId="4826354C"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157.150.090 </w:t>
            </w:r>
          </w:p>
        </w:tc>
      </w:tr>
      <w:tr w:rsidR="002C473A" w:rsidRPr="008F1788" w14:paraId="441EF351" w14:textId="77777777" w:rsidTr="002C473A">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7054A7E1"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Posavski</w:t>
            </w:r>
          </w:p>
        </w:tc>
        <w:tc>
          <w:tcPr>
            <w:tcW w:w="1640" w:type="dxa"/>
            <w:shd w:val="clear" w:color="auto" w:fill="auto"/>
          </w:tcPr>
          <w:p w14:paraId="7AB96170"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21.979.250 </w:t>
            </w:r>
          </w:p>
        </w:tc>
        <w:tc>
          <w:tcPr>
            <w:tcW w:w="1640" w:type="dxa"/>
            <w:shd w:val="clear" w:color="auto" w:fill="auto"/>
          </w:tcPr>
          <w:p w14:paraId="34DC0BE3"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20.936.265 </w:t>
            </w:r>
          </w:p>
        </w:tc>
        <w:tc>
          <w:tcPr>
            <w:tcW w:w="1540" w:type="dxa"/>
            <w:shd w:val="clear" w:color="auto" w:fill="auto"/>
          </w:tcPr>
          <w:p w14:paraId="78C0C33A"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20.257.369 </w:t>
            </w:r>
          </w:p>
        </w:tc>
        <w:tc>
          <w:tcPr>
            <w:tcW w:w="1640" w:type="dxa"/>
            <w:shd w:val="clear" w:color="auto" w:fill="auto"/>
          </w:tcPr>
          <w:p w14:paraId="160E7804"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29.338.482 </w:t>
            </w:r>
          </w:p>
        </w:tc>
      </w:tr>
      <w:tr w:rsidR="002C473A" w:rsidRPr="008F1788" w14:paraId="575B3158" w14:textId="77777777" w:rsidTr="002C473A">
        <w:trPr>
          <w:trHeight w:val="315"/>
        </w:trPr>
        <w:tc>
          <w:tcPr>
            <w:tcW w:w="2840" w:type="dxa"/>
            <w:shd w:val="clear" w:color="auto" w:fill="auto"/>
          </w:tcPr>
          <w:p w14:paraId="7269374D"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Tuzlanski</w:t>
            </w:r>
          </w:p>
        </w:tc>
        <w:tc>
          <w:tcPr>
            <w:tcW w:w="1640" w:type="dxa"/>
            <w:shd w:val="clear" w:color="auto" w:fill="auto"/>
          </w:tcPr>
          <w:p w14:paraId="497B6CC0"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289.864.989 </w:t>
            </w:r>
          </w:p>
        </w:tc>
        <w:tc>
          <w:tcPr>
            <w:tcW w:w="1640" w:type="dxa"/>
            <w:shd w:val="clear" w:color="auto" w:fill="auto"/>
          </w:tcPr>
          <w:p w14:paraId="1F07CB42"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361.540.458 </w:t>
            </w:r>
          </w:p>
        </w:tc>
        <w:tc>
          <w:tcPr>
            <w:tcW w:w="1540" w:type="dxa"/>
            <w:shd w:val="clear" w:color="auto" w:fill="auto"/>
          </w:tcPr>
          <w:p w14:paraId="090D5DB9"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346.741.556 </w:t>
            </w:r>
          </w:p>
        </w:tc>
        <w:tc>
          <w:tcPr>
            <w:tcW w:w="1640" w:type="dxa"/>
            <w:shd w:val="clear" w:color="auto" w:fill="auto"/>
          </w:tcPr>
          <w:p w14:paraId="60D14544"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421.482.748 </w:t>
            </w:r>
          </w:p>
        </w:tc>
      </w:tr>
      <w:tr w:rsidR="002C473A" w:rsidRPr="008F1788" w14:paraId="35E715C5" w14:textId="77777777" w:rsidTr="002C473A">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6080EF88"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Zeničko dobojski</w:t>
            </w:r>
          </w:p>
        </w:tc>
        <w:tc>
          <w:tcPr>
            <w:tcW w:w="1640" w:type="dxa"/>
            <w:shd w:val="clear" w:color="auto" w:fill="auto"/>
          </w:tcPr>
          <w:p w14:paraId="4D722A31"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278.418.176 </w:t>
            </w:r>
          </w:p>
        </w:tc>
        <w:tc>
          <w:tcPr>
            <w:tcW w:w="1640" w:type="dxa"/>
            <w:shd w:val="clear" w:color="auto" w:fill="auto"/>
          </w:tcPr>
          <w:p w14:paraId="2FC98852"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240.154.718 </w:t>
            </w:r>
          </w:p>
        </w:tc>
        <w:tc>
          <w:tcPr>
            <w:tcW w:w="1540" w:type="dxa"/>
            <w:shd w:val="clear" w:color="auto" w:fill="auto"/>
          </w:tcPr>
          <w:p w14:paraId="617F888E"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329.725.282 </w:t>
            </w:r>
          </w:p>
        </w:tc>
        <w:tc>
          <w:tcPr>
            <w:tcW w:w="1640" w:type="dxa"/>
            <w:shd w:val="clear" w:color="auto" w:fill="auto"/>
          </w:tcPr>
          <w:p w14:paraId="74A69676"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360.636.449 </w:t>
            </w:r>
          </w:p>
        </w:tc>
      </w:tr>
      <w:tr w:rsidR="002C473A" w:rsidRPr="008F1788" w14:paraId="06C7FF31" w14:textId="77777777" w:rsidTr="002C473A">
        <w:trPr>
          <w:trHeight w:val="315"/>
        </w:trPr>
        <w:tc>
          <w:tcPr>
            <w:tcW w:w="2840" w:type="dxa"/>
            <w:shd w:val="clear" w:color="auto" w:fill="auto"/>
          </w:tcPr>
          <w:p w14:paraId="7D3AE56E"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Bosansko - podrinjski</w:t>
            </w:r>
          </w:p>
        </w:tc>
        <w:tc>
          <w:tcPr>
            <w:tcW w:w="1640" w:type="dxa"/>
            <w:shd w:val="clear" w:color="auto" w:fill="auto"/>
          </w:tcPr>
          <w:p w14:paraId="57809602"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12.533.089 </w:t>
            </w:r>
          </w:p>
        </w:tc>
        <w:tc>
          <w:tcPr>
            <w:tcW w:w="1640" w:type="dxa"/>
            <w:shd w:val="clear" w:color="auto" w:fill="auto"/>
          </w:tcPr>
          <w:p w14:paraId="7B07BE0A"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14.485.515 </w:t>
            </w:r>
          </w:p>
        </w:tc>
        <w:tc>
          <w:tcPr>
            <w:tcW w:w="1540" w:type="dxa"/>
            <w:shd w:val="clear" w:color="auto" w:fill="auto"/>
          </w:tcPr>
          <w:p w14:paraId="73127460"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11.981.869 </w:t>
            </w:r>
          </w:p>
        </w:tc>
        <w:tc>
          <w:tcPr>
            <w:tcW w:w="1640" w:type="dxa"/>
            <w:shd w:val="clear" w:color="auto" w:fill="auto"/>
          </w:tcPr>
          <w:p w14:paraId="260772B3"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15.792.453 </w:t>
            </w:r>
          </w:p>
        </w:tc>
      </w:tr>
      <w:tr w:rsidR="002C473A" w:rsidRPr="008F1788" w14:paraId="43AD52FD" w14:textId="77777777" w:rsidTr="002C473A">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4195BD30"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Srednjobosanski</w:t>
            </w:r>
          </w:p>
        </w:tc>
        <w:tc>
          <w:tcPr>
            <w:tcW w:w="1640" w:type="dxa"/>
            <w:shd w:val="clear" w:color="auto" w:fill="auto"/>
          </w:tcPr>
          <w:p w14:paraId="2887B1BB"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111.430.980 </w:t>
            </w:r>
          </w:p>
        </w:tc>
        <w:tc>
          <w:tcPr>
            <w:tcW w:w="1640" w:type="dxa"/>
            <w:shd w:val="clear" w:color="auto" w:fill="auto"/>
          </w:tcPr>
          <w:p w14:paraId="78BA1DDC"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135.992.413 </w:t>
            </w:r>
          </w:p>
        </w:tc>
        <w:tc>
          <w:tcPr>
            <w:tcW w:w="1540" w:type="dxa"/>
            <w:shd w:val="clear" w:color="auto" w:fill="auto"/>
          </w:tcPr>
          <w:p w14:paraId="17187357"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139.393.679 </w:t>
            </w:r>
          </w:p>
        </w:tc>
        <w:tc>
          <w:tcPr>
            <w:tcW w:w="1640" w:type="dxa"/>
            <w:shd w:val="clear" w:color="auto" w:fill="auto"/>
          </w:tcPr>
          <w:p w14:paraId="200D922C"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162.541.284 </w:t>
            </w:r>
          </w:p>
        </w:tc>
      </w:tr>
      <w:tr w:rsidR="002C473A" w:rsidRPr="008F1788" w14:paraId="2DD17BAC" w14:textId="77777777" w:rsidTr="002C473A">
        <w:trPr>
          <w:trHeight w:val="315"/>
        </w:trPr>
        <w:tc>
          <w:tcPr>
            <w:tcW w:w="2840" w:type="dxa"/>
            <w:shd w:val="clear" w:color="auto" w:fill="auto"/>
          </w:tcPr>
          <w:p w14:paraId="6B5585CE"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Hercegovačko - neretvanski</w:t>
            </w:r>
          </w:p>
        </w:tc>
        <w:tc>
          <w:tcPr>
            <w:tcW w:w="1640" w:type="dxa"/>
            <w:shd w:val="clear" w:color="auto" w:fill="auto"/>
          </w:tcPr>
          <w:p w14:paraId="4AFB1E21"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179.552.274 </w:t>
            </w:r>
          </w:p>
        </w:tc>
        <w:tc>
          <w:tcPr>
            <w:tcW w:w="1640" w:type="dxa"/>
            <w:shd w:val="clear" w:color="auto" w:fill="auto"/>
          </w:tcPr>
          <w:p w14:paraId="1EBFC037"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219.781.718 </w:t>
            </w:r>
          </w:p>
        </w:tc>
        <w:tc>
          <w:tcPr>
            <w:tcW w:w="1540" w:type="dxa"/>
            <w:shd w:val="clear" w:color="auto" w:fill="auto"/>
          </w:tcPr>
          <w:p w14:paraId="3D3DCADB"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174.483.091 </w:t>
            </w:r>
          </w:p>
        </w:tc>
        <w:tc>
          <w:tcPr>
            <w:tcW w:w="1640" w:type="dxa"/>
            <w:shd w:val="clear" w:color="auto" w:fill="auto"/>
          </w:tcPr>
          <w:p w14:paraId="069C1B57"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268.644.406 </w:t>
            </w:r>
          </w:p>
        </w:tc>
      </w:tr>
      <w:tr w:rsidR="002C473A" w:rsidRPr="008F1788" w14:paraId="1F436479" w14:textId="77777777" w:rsidTr="002C473A">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58824F9F"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Zapadnohercegovački</w:t>
            </w:r>
          </w:p>
        </w:tc>
        <w:tc>
          <w:tcPr>
            <w:tcW w:w="1640" w:type="dxa"/>
            <w:shd w:val="clear" w:color="auto" w:fill="auto"/>
          </w:tcPr>
          <w:p w14:paraId="1A35744F"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172.117.190 </w:t>
            </w:r>
          </w:p>
        </w:tc>
        <w:tc>
          <w:tcPr>
            <w:tcW w:w="1640" w:type="dxa"/>
            <w:shd w:val="clear" w:color="auto" w:fill="auto"/>
          </w:tcPr>
          <w:p w14:paraId="0FBBC39C"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285.671.099 </w:t>
            </w:r>
          </w:p>
        </w:tc>
        <w:tc>
          <w:tcPr>
            <w:tcW w:w="1540" w:type="dxa"/>
            <w:shd w:val="clear" w:color="auto" w:fill="auto"/>
          </w:tcPr>
          <w:p w14:paraId="314BE109"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135.815.023 </w:t>
            </w:r>
          </w:p>
        </w:tc>
        <w:tc>
          <w:tcPr>
            <w:tcW w:w="1640" w:type="dxa"/>
            <w:shd w:val="clear" w:color="auto" w:fill="auto"/>
          </w:tcPr>
          <w:p w14:paraId="4704D3EF"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164.291.060 </w:t>
            </w:r>
          </w:p>
        </w:tc>
      </w:tr>
      <w:tr w:rsidR="002C473A" w:rsidRPr="008F1788" w14:paraId="6CB0F281" w14:textId="77777777" w:rsidTr="002C473A">
        <w:trPr>
          <w:trHeight w:val="315"/>
        </w:trPr>
        <w:tc>
          <w:tcPr>
            <w:tcW w:w="2840" w:type="dxa"/>
            <w:shd w:val="clear" w:color="auto" w:fill="auto"/>
          </w:tcPr>
          <w:p w14:paraId="777237F7"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Kanton Sarajevo</w:t>
            </w:r>
          </w:p>
        </w:tc>
        <w:tc>
          <w:tcPr>
            <w:tcW w:w="1640" w:type="dxa"/>
            <w:shd w:val="clear" w:color="auto" w:fill="auto"/>
          </w:tcPr>
          <w:p w14:paraId="73D9FFE7"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517.302.864 </w:t>
            </w:r>
          </w:p>
        </w:tc>
        <w:tc>
          <w:tcPr>
            <w:tcW w:w="1640" w:type="dxa"/>
            <w:shd w:val="clear" w:color="auto" w:fill="auto"/>
          </w:tcPr>
          <w:p w14:paraId="0D3B46D1"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706.343.714 </w:t>
            </w:r>
          </w:p>
        </w:tc>
        <w:tc>
          <w:tcPr>
            <w:tcW w:w="1540" w:type="dxa"/>
            <w:shd w:val="clear" w:color="auto" w:fill="auto"/>
          </w:tcPr>
          <w:p w14:paraId="36188A2E"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595.100.342 </w:t>
            </w:r>
          </w:p>
        </w:tc>
        <w:tc>
          <w:tcPr>
            <w:tcW w:w="1640" w:type="dxa"/>
            <w:shd w:val="clear" w:color="auto" w:fill="auto"/>
          </w:tcPr>
          <w:p w14:paraId="6679E0C6"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802.961.995 </w:t>
            </w:r>
          </w:p>
        </w:tc>
      </w:tr>
      <w:tr w:rsidR="002C473A" w:rsidRPr="008F1788" w14:paraId="1AED029E" w14:textId="77777777" w:rsidTr="002C473A">
        <w:trPr>
          <w:cnfStyle w:val="000000100000" w:firstRow="0" w:lastRow="0" w:firstColumn="0" w:lastColumn="0" w:oddVBand="0" w:evenVBand="0" w:oddHBand="1" w:evenHBand="0" w:firstRowFirstColumn="0" w:firstRowLastColumn="0" w:lastRowFirstColumn="0" w:lastRowLastColumn="0"/>
          <w:trHeight w:val="315"/>
        </w:trPr>
        <w:tc>
          <w:tcPr>
            <w:tcW w:w="2840" w:type="dxa"/>
            <w:shd w:val="clear" w:color="auto" w:fill="auto"/>
          </w:tcPr>
          <w:p w14:paraId="5B543240" w14:textId="77777777" w:rsidR="004C5A0C" w:rsidRPr="008F1788" w:rsidRDefault="004C5A0C" w:rsidP="004C5A0C">
            <w:pPr>
              <w:rPr>
                <w:rFonts w:asciiTheme="majorHAnsi" w:hAnsiTheme="majorHAnsi" w:cstheme="majorHAnsi"/>
                <w:bCs/>
                <w:color w:val="auto"/>
                <w:sz w:val="20"/>
                <w:szCs w:val="20"/>
              </w:rPr>
            </w:pPr>
            <w:r w:rsidRPr="008F1788">
              <w:rPr>
                <w:rFonts w:asciiTheme="majorHAnsi" w:hAnsiTheme="majorHAnsi" w:cstheme="majorHAnsi"/>
                <w:bCs/>
                <w:color w:val="auto"/>
                <w:sz w:val="20"/>
                <w:szCs w:val="20"/>
              </w:rPr>
              <w:t>K10</w:t>
            </w:r>
          </w:p>
        </w:tc>
        <w:tc>
          <w:tcPr>
            <w:tcW w:w="1640" w:type="dxa"/>
            <w:shd w:val="clear" w:color="auto" w:fill="auto"/>
          </w:tcPr>
          <w:p w14:paraId="4818B6F6"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17.637.799 </w:t>
            </w:r>
          </w:p>
        </w:tc>
        <w:tc>
          <w:tcPr>
            <w:tcW w:w="1640" w:type="dxa"/>
            <w:shd w:val="clear" w:color="auto" w:fill="auto"/>
          </w:tcPr>
          <w:p w14:paraId="772FE2EA"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23.546.371 </w:t>
            </w:r>
          </w:p>
        </w:tc>
        <w:tc>
          <w:tcPr>
            <w:tcW w:w="1540" w:type="dxa"/>
            <w:shd w:val="clear" w:color="auto" w:fill="auto"/>
          </w:tcPr>
          <w:p w14:paraId="03212C43"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28.608.368 </w:t>
            </w:r>
          </w:p>
        </w:tc>
        <w:tc>
          <w:tcPr>
            <w:tcW w:w="1640" w:type="dxa"/>
            <w:shd w:val="clear" w:color="auto" w:fill="auto"/>
          </w:tcPr>
          <w:p w14:paraId="2AABC68E" w14:textId="77777777" w:rsidR="004C5A0C" w:rsidRPr="008F1788" w:rsidRDefault="004C5A0C" w:rsidP="004C5A0C">
            <w:pPr>
              <w:jc w:val="right"/>
              <w:rPr>
                <w:rFonts w:asciiTheme="majorHAnsi" w:hAnsiTheme="majorHAnsi" w:cstheme="majorHAnsi"/>
                <w:color w:val="auto"/>
                <w:sz w:val="20"/>
                <w:szCs w:val="20"/>
              </w:rPr>
            </w:pPr>
            <w:r w:rsidRPr="008F1788">
              <w:rPr>
                <w:rFonts w:asciiTheme="majorHAnsi" w:eastAsia="Arial Unicode MS" w:hAnsiTheme="majorHAnsi" w:cstheme="majorHAnsi"/>
                <w:color w:val="auto"/>
                <w:kern w:val="24"/>
                <w:sz w:val="20"/>
                <w:szCs w:val="20"/>
              </w:rPr>
              <w:t xml:space="preserve">26.375.684 </w:t>
            </w:r>
          </w:p>
        </w:tc>
      </w:tr>
      <w:tr w:rsidR="002C473A" w:rsidRPr="008F1788" w14:paraId="64EBDBA0" w14:textId="77777777" w:rsidTr="002C473A">
        <w:trPr>
          <w:trHeight w:val="315"/>
        </w:trPr>
        <w:tc>
          <w:tcPr>
            <w:tcW w:w="2840" w:type="dxa"/>
            <w:shd w:val="clear" w:color="auto" w:fill="BCD9DE" w:themeFill="accent5" w:themeFillTint="66"/>
          </w:tcPr>
          <w:p w14:paraId="118A2764" w14:textId="77777777" w:rsidR="004C5A0C" w:rsidRPr="008F1788" w:rsidRDefault="004C5A0C" w:rsidP="004C5A0C">
            <w:pPr>
              <w:rPr>
                <w:rFonts w:asciiTheme="majorHAnsi" w:hAnsiTheme="majorHAnsi" w:cstheme="majorHAnsi"/>
                <w:b/>
                <w:color w:val="auto"/>
                <w:sz w:val="20"/>
                <w:szCs w:val="20"/>
              </w:rPr>
            </w:pPr>
            <w:r w:rsidRPr="008F1788">
              <w:rPr>
                <w:rFonts w:asciiTheme="majorHAnsi" w:hAnsiTheme="majorHAnsi" w:cstheme="majorHAnsi"/>
                <w:b/>
                <w:color w:val="auto"/>
                <w:sz w:val="20"/>
                <w:szCs w:val="20"/>
              </w:rPr>
              <w:t>Federacija BiH</w:t>
            </w:r>
          </w:p>
        </w:tc>
        <w:tc>
          <w:tcPr>
            <w:tcW w:w="1640" w:type="dxa"/>
            <w:shd w:val="clear" w:color="auto" w:fill="BCD9DE" w:themeFill="accent5" w:themeFillTint="66"/>
          </w:tcPr>
          <w:p w14:paraId="7C15DF72" w14:textId="77777777" w:rsidR="004C5A0C" w:rsidRPr="008F1788" w:rsidRDefault="004C5A0C" w:rsidP="004C5A0C">
            <w:pPr>
              <w:jc w:val="right"/>
              <w:rPr>
                <w:rFonts w:asciiTheme="majorHAnsi" w:hAnsiTheme="majorHAnsi" w:cstheme="majorHAnsi"/>
                <w:b/>
                <w:bCs/>
                <w:color w:val="auto"/>
                <w:sz w:val="20"/>
                <w:szCs w:val="20"/>
              </w:rPr>
            </w:pPr>
            <w:r w:rsidRPr="008F1788">
              <w:rPr>
                <w:rFonts w:asciiTheme="majorHAnsi" w:eastAsia="Arial Unicode MS" w:hAnsiTheme="majorHAnsi" w:cstheme="majorHAnsi"/>
                <w:b/>
                <w:bCs/>
                <w:color w:val="auto"/>
                <w:kern w:val="24"/>
                <w:sz w:val="20"/>
                <w:szCs w:val="20"/>
              </w:rPr>
              <w:t>1.655.985.411</w:t>
            </w:r>
          </w:p>
        </w:tc>
        <w:tc>
          <w:tcPr>
            <w:tcW w:w="1640" w:type="dxa"/>
            <w:shd w:val="clear" w:color="auto" w:fill="BCD9DE" w:themeFill="accent5" w:themeFillTint="66"/>
          </w:tcPr>
          <w:p w14:paraId="6E2A1A7D" w14:textId="77777777" w:rsidR="004C5A0C" w:rsidRPr="008F1788" w:rsidRDefault="004C5A0C" w:rsidP="004C5A0C">
            <w:pPr>
              <w:jc w:val="right"/>
              <w:rPr>
                <w:rFonts w:asciiTheme="majorHAnsi" w:hAnsiTheme="majorHAnsi" w:cstheme="majorHAnsi"/>
                <w:b/>
                <w:bCs/>
                <w:color w:val="auto"/>
                <w:sz w:val="20"/>
                <w:szCs w:val="20"/>
              </w:rPr>
            </w:pPr>
            <w:r w:rsidRPr="008F1788">
              <w:rPr>
                <w:rFonts w:asciiTheme="majorHAnsi" w:eastAsia="Arial Unicode MS" w:hAnsiTheme="majorHAnsi" w:cstheme="majorHAnsi"/>
                <w:b/>
                <w:bCs/>
                <w:color w:val="auto"/>
                <w:kern w:val="24"/>
                <w:sz w:val="20"/>
                <w:szCs w:val="20"/>
              </w:rPr>
              <w:t>2.052.837.937</w:t>
            </w:r>
          </w:p>
        </w:tc>
        <w:tc>
          <w:tcPr>
            <w:tcW w:w="1540" w:type="dxa"/>
            <w:shd w:val="clear" w:color="auto" w:fill="BCD9DE" w:themeFill="accent5" w:themeFillTint="66"/>
          </w:tcPr>
          <w:p w14:paraId="604713D6" w14:textId="77777777" w:rsidR="004C5A0C" w:rsidRPr="008F1788" w:rsidRDefault="004C5A0C" w:rsidP="004C5A0C">
            <w:pPr>
              <w:jc w:val="right"/>
              <w:rPr>
                <w:rFonts w:asciiTheme="majorHAnsi" w:hAnsiTheme="majorHAnsi" w:cstheme="majorHAnsi"/>
                <w:b/>
                <w:bCs/>
                <w:color w:val="auto"/>
                <w:sz w:val="20"/>
                <w:szCs w:val="20"/>
              </w:rPr>
            </w:pPr>
            <w:r w:rsidRPr="008F1788">
              <w:rPr>
                <w:rFonts w:asciiTheme="majorHAnsi" w:eastAsia="Arial Unicode MS" w:hAnsiTheme="majorHAnsi" w:cstheme="majorHAnsi"/>
                <w:b/>
                <w:bCs/>
                <w:color w:val="auto"/>
                <w:kern w:val="24"/>
                <w:sz w:val="20"/>
                <w:szCs w:val="20"/>
              </w:rPr>
              <w:t>1.884.332.019</w:t>
            </w:r>
          </w:p>
        </w:tc>
        <w:tc>
          <w:tcPr>
            <w:tcW w:w="1640" w:type="dxa"/>
            <w:shd w:val="clear" w:color="auto" w:fill="BCD9DE" w:themeFill="accent5" w:themeFillTint="66"/>
          </w:tcPr>
          <w:p w14:paraId="21D0DE46" w14:textId="77777777" w:rsidR="004C5A0C" w:rsidRPr="008F1788" w:rsidRDefault="004C5A0C" w:rsidP="004C5A0C">
            <w:pPr>
              <w:jc w:val="right"/>
              <w:rPr>
                <w:rFonts w:asciiTheme="majorHAnsi" w:hAnsiTheme="majorHAnsi" w:cstheme="majorHAnsi"/>
                <w:b/>
                <w:bCs/>
                <w:color w:val="auto"/>
                <w:sz w:val="20"/>
                <w:szCs w:val="20"/>
              </w:rPr>
            </w:pPr>
            <w:r w:rsidRPr="008F1788">
              <w:rPr>
                <w:rFonts w:asciiTheme="majorHAnsi" w:eastAsia="Arial Unicode MS" w:hAnsiTheme="majorHAnsi" w:cstheme="majorHAnsi"/>
                <w:b/>
                <w:bCs/>
                <w:color w:val="auto"/>
                <w:kern w:val="24"/>
                <w:sz w:val="20"/>
                <w:szCs w:val="20"/>
              </w:rPr>
              <w:t>2.409.214.651</w:t>
            </w:r>
          </w:p>
        </w:tc>
      </w:tr>
    </w:tbl>
    <w:p w14:paraId="555660AD" w14:textId="77777777" w:rsidR="002C473A" w:rsidRDefault="002C473A" w:rsidP="002C473A">
      <w:pPr>
        <w:rPr>
          <w:rFonts w:asciiTheme="majorHAnsi" w:hAnsiTheme="majorHAnsi" w:cstheme="majorHAnsi"/>
          <w:i/>
          <w:sz w:val="18"/>
          <w:szCs w:val="18"/>
        </w:rPr>
      </w:pPr>
      <w:r w:rsidRPr="00ED7B99">
        <w:rPr>
          <w:rFonts w:asciiTheme="majorHAnsi" w:hAnsiTheme="majorHAnsi" w:cstheme="majorHAnsi"/>
          <w:i/>
          <w:sz w:val="18"/>
          <w:szCs w:val="18"/>
        </w:rPr>
        <w:t>Izvor: BISNODE baza podataka</w:t>
      </w:r>
    </w:p>
    <w:p w14:paraId="3AC04FB0" w14:textId="2962CE4B" w:rsidR="00686AE4" w:rsidRDefault="00686AE4" w:rsidP="004C5A0C">
      <w:pPr>
        <w:jc w:val="both"/>
        <w:rPr>
          <w:rFonts w:asciiTheme="majorHAnsi" w:hAnsiTheme="majorHAnsi" w:cstheme="majorHAnsi"/>
        </w:rPr>
      </w:pPr>
      <w:r>
        <w:rPr>
          <w:rFonts w:asciiTheme="majorHAnsi" w:hAnsiTheme="majorHAnsi" w:cstheme="majorHAnsi"/>
        </w:rPr>
        <w:t>MMSP na području Federacije BiH su u 2021. godni ostvaril bruto finans</w:t>
      </w:r>
      <w:r w:rsidR="002C473A">
        <w:rPr>
          <w:rFonts w:asciiTheme="majorHAnsi" w:hAnsiTheme="majorHAnsi" w:cstheme="majorHAnsi"/>
        </w:rPr>
        <w:t>ijski</w:t>
      </w:r>
      <w:r>
        <w:rPr>
          <w:rFonts w:asciiTheme="majorHAnsi" w:hAnsiTheme="majorHAnsi" w:cstheme="majorHAnsi"/>
        </w:rPr>
        <w:t xml:space="preserve"> rezultat u iznosu od 2.409.214.651 KM što je rast za 27,8% u odnosu na 2020. godni. Ujedno radi se o najvišem iznosu pokazatelja u posmatranom perodu 2018.-2021. godina. </w:t>
      </w:r>
      <w:r w:rsidR="0056797D">
        <w:rPr>
          <w:rFonts w:asciiTheme="majorHAnsi" w:hAnsiTheme="majorHAnsi" w:cstheme="majorHAnsi"/>
        </w:rPr>
        <w:t>Na</w:t>
      </w:r>
      <w:r w:rsidR="002C473A">
        <w:rPr>
          <w:rFonts w:asciiTheme="majorHAnsi" w:hAnsiTheme="majorHAnsi" w:cstheme="majorHAnsi"/>
        </w:rPr>
        <w:t>j</w:t>
      </w:r>
      <w:r w:rsidR="0056797D">
        <w:rPr>
          <w:rFonts w:asciiTheme="majorHAnsi" w:hAnsiTheme="majorHAnsi" w:cstheme="majorHAnsi"/>
        </w:rPr>
        <w:t xml:space="preserve">veći rast bruto finansijskipg rezultata MMSP na nivou Kantona u 2021. u odnosu na 2020. godinu ostvarila su preduzeća na nivou Hercegovačko-neretvanskog kantona (54%) i </w:t>
      </w:r>
      <w:r w:rsidR="00207E4E">
        <w:rPr>
          <w:rFonts w:asciiTheme="majorHAnsi" w:hAnsiTheme="majorHAnsi" w:cstheme="majorHAnsi"/>
        </w:rPr>
        <w:t>Unsko-sanskog kantona (53,7%), dok je najmanji rast pokazatelja zabilježen na nivou Kantona 10 – 7,8%.</w:t>
      </w:r>
    </w:p>
    <w:p w14:paraId="3D13E8B7" w14:textId="486FCCB2" w:rsidR="00DB6BC6" w:rsidRDefault="008F1788" w:rsidP="00DB6BC6">
      <w:pPr>
        <w:jc w:val="both"/>
        <w:rPr>
          <w:rFonts w:asciiTheme="majorHAnsi" w:hAnsiTheme="majorHAnsi" w:cstheme="majorHAnsi"/>
        </w:rPr>
      </w:pPr>
      <w:r>
        <w:rPr>
          <w:rFonts w:asciiTheme="majorHAnsi" w:hAnsiTheme="majorHAnsi" w:cstheme="majorHAnsi"/>
        </w:rPr>
        <w:t>Prema analiziranim pokazateljima, metalska</w:t>
      </w:r>
      <w:r w:rsidRPr="000D65C8">
        <w:rPr>
          <w:rFonts w:asciiTheme="majorHAnsi" w:hAnsiTheme="majorHAnsi" w:cstheme="majorHAnsi"/>
        </w:rPr>
        <w:t xml:space="preserve"> industrija najsnažnija </w:t>
      </w:r>
      <w:r>
        <w:rPr>
          <w:rFonts w:asciiTheme="majorHAnsi" w:hAnsiTheme="majorHAnsi" w:cstheme="majorHAnsi"/>
        </w:rPr>
        <w:t>je privredna</w:t>
      </w:r>
      <w:r w:rsidRPr="000D65C8">
        <w:rPr>
          <w:rFonts w:asciiTheme="majorHAnsi" w:hAnsiTheme="majorHAnsi" w:cstheme="majorHAnsi"/>
        </w:rPr>
        <w:t xml:space="preserve"> aktivnost u </w:t>
      </w:r>
      <w:r>
        <w:rPr>
          <w:rFonts w:asciiTheme="majorHAnsi" w:hAnsiTheme="majorHAnsi" w:cstheme="majorHAnsi"/>
        </w:rPr>
        <w:t>Federaciji</w:t>
      </w:r>
      <w:r w:rsidRPr="000D65C8">
        <w:rPr>
          <w:rFonts w:asciiTheme="majorHAnsi" w:hAnsiTheme="majorHAnsi" w:cstheme="majorHAnsi"/>
        </w:rPr>
        <w:t xml:space="preserve"> </w:t>
      </w:r>
      <w:r>
        <w:rPr>
          <w:rFonts w:asciiTheme="majorHAnsi" w:hAnsiTheme="majorHAnsi" w:cstheme="majorHAnsi"/>
        </w:rPr>
        <w:t xml:space="preserve">BiH a pored nje, </w:t>
      </w:r>
      <w:r w:rsidRPr="000D65C8">
        <w:rPr>
          <w:rFonts w:asciiTheme="majorHAnsi" w:hAnsiTheme="majorHAnsi" w:cstheme="majorHAnsi"/>
        </w:rPr>
        <w:t xml:space="preserve"> dominiraju </w:t>
      </w:r>
      <w:r>
        <w:rPr>
          <w:rFonts w:asciiTheme="majorHAnsi" w:hAnsiTheme="majorHAnsi" w:cstheme="majorHAnsi"/>
        </w:rPr>
        <w:t>drvna i prehrambena industrija.</w:t>
      </w:r>
      <w:r w:rsidR="00DB6BC6">
        <w:rPr>
          <w:rFonts w:asciiTheme="majorHAnsi" w:hAnsiTheme="majorHAnsi" w:cstheme="majorHAnsi"/>
        </w:rPr>
        <w:t xml:space="preserve"> Uvažavajući blizinu EU kao i prepoznatljivost ovih industrija FBiH kao stabilnih, pouzdanih sa potrebnim kadrovima, znanjima </w:t>
      </w:r>
      <w:r w:rsidR="00DB6BC6" w:rsidRPr="005827F5">
        <w:rPr>
          <w:rFonts w:asciiTheme="majorHAnsi" w:hAnsiTheme="majorHAnsi" w:cstheme="majorHAnsi"/>
        </w:rPr>
        <w:t>i opremom, dešava se kontiunirani porast potražnje za proizvodima ove industrije, posebno nakon COVID 19 pandemije.</w:t>
      </w:r>
      <w:r w:rsidRPr="005827F5">
        <w:rPr>
          <w:rFonts w:asciiTheme="majorHAnsi" w:hAnsiTheme="majorHAnsi" w:cstheme="majorHAnsi"/>
        </w:rPr>
        <w:t xml:space="preserve"> </w:t>
      </w:r>
      <w:r w:rsidR="00DB6BC6" w:rsidRPr="005827F5">
        <w:rPr>
          <w:rFonts w:asciiTheme="majorHAnsi" w:hAnsiTheme="majorHAnsi" w:cstheme="majorHAnsi"/>
        </w:rPr>
        <w:t xml:space="preserve">Nažalost, nove prijetnje stabilnosti i daljem razvoju ključnih djelatnosti Federacije BiH ogledaju se u uslovima koje je izazvao rat u Ukrajini u 2022. godni koji je uzrokovao nestašicu  određenih sirovina i/ili poskupljenje </w:t>
      </w:r>
      <w:r w:rsidR="00DB6BC6" w:rsidRPr="005827F5">
        <w:rPr>
          <w:rFonts w:asciiTheme="majorHAnsi" w:hAnsiTheme="majorHAnsi" w:cstheme="majorHAnsi"/>
        </w:rPr>
        <w:lastRenderedPageBreak/>
        <w:t>istih uz poskupljenje energenata, kao i duge rokove isporuke što uzrokuje negativne posljedice na poslovanje prvrednh subjekata, posebno mikro, malih i srednjh preduzeća koji su podložnji negativnim tržišnim utjecajima u odnosu na velika preduzeća.</w:t>
      </w:r>
    </w:p>
    <w:p w14:paraId="55CED5D5" w14:textId="74EDF315" w:rsidR="008F1788" w:rsidRDefault="004A139E" w:rsidP="008F1788">
      <w:pPr>
        <w:jc w:val="both"/>
        <w:rPr>
          <w:rFonts w:asciiTheme="majorHAnsi" w:hAnsiTheme="majorHAnsi" w:cstheme="majorHAnsi"/>
        </w:rPr>
      </w:pPr>
      <w:r w:rsidRPr="004A139E">
        <w:rPr>
          <w:rFonts w:asciiTheme="majorHAnsi" w:hAnsiTheme="majorHAnsi" w:cstheme="majorHAnsi"/>
        </w:rPr>
        <w:t xml:space="preserve">Iako je tokom 2022. godine zabilježena stagnacija obima industrijske proizvodnje, </w:t>
      </w:r>
      <w:r>
        <w:rPr>
          <w:rFonts w:asciiTheme="majorHAnsi" w:hAnsiTheme="majorHAnsi" w:cstheme="majorHAnsi"/>
        </w:rPr>
        <w:t>preduzeća sa područja Federacije BiH imaju dovoljnu bazu klijenata za ostvarenje izvoza te je neophodno os</w:t>
      </w:r>
      <w:r w:rsidR="008F1788">
        <w:rPr>
          <w:rFonts w:asciiTheme="majorHAnsi" w:hAnsiTheme="majorHAnsi" w:cstheme="majorHAnsi"/>
        </w:rPr>
        <w:t>i</w:t>
      </w:r>
      <w:r>
        <w:rPr>
          <w:rFonts w:asciiTheme="majorHAnsi" w:hAnsiTheme="majorHAnsi" w:cstheme="majorHAnsi"/>
        </w:rPr>
        <w:t>gurati uslove</w:t>
      </w:r>
      <w:r w:rsidR="00DB6BC6">
        <w:rPr>
          <w:rFonts w:asciiTheme="majorHAnsi" w:hAnsiTheme="majorHAnsi" w:cstheme="majorHAnsi"/>
        </w:rPr>
        <w:t xml:space="preserve"> i</w:t>
      </w:r>
      <w:r>
        <w:rPr>
          <w:rFonts w:asciiTheme="majorHAnsi" w:hAnsiTheme="majorHAnsi" w:cstheme="majorHAnsi"/>
        </w:rPr>
        <w:t xml:space="preserve">  poticati dalji </w:t>
      </w:r>
      <w:r w:rsidRPr="004A139E">
        <w:rPr>
          <w:rFonts w:asciiTheme="majorHAnsi" w:hAnsiTheme="majorHAnsi" w:cstheme="majorHAnsi"/>
        </w:rPr>
        <w:t xml:space="preserve">rast </w:t>
      </w:r>
      <w:r>
        <w:rPr>
          <w:rFonts w:asciiTheme="majorHAnsi" w:hAnsiTheme="majorHAnsi" w:cstheme="majorHAnsi"/>
        </w:rPr>
        <w:t xml:space="preserve">ključnih djelatnosti Federacije BiH. </w:t>
      </w:r>
      <w:r w:rsidR="008F1788">
        <w:rPr>
          <w:rFonts w:asciiTheme="majorHAnsi" w:hAnsiTheme="majorHAnsi" w:cstheme="majorHAnsi"/>
        </w:rPr>
        <w:t>Poticanje uključivanje u globalne lance vrijednosti, jačanje konkurentnosti posebno izvoznog potencijala i dalje se nameću kao proritet razvojnih pravaca u oblasti male privrede FBiH.</w:t>
      </w:r>
    </w:p>
    <w:p w14:paraId="35A6C01C" w14:textId="6202E273" w:rsidR="004C5A0C" w:rsidRPr="00ED7B99" w:rsidRDefault="008F1788" w:rsidP="004C5A0C">
      <w:pPr>
        <w:jc w:val="both"/>
        <w:rPr>
          <w:rFonts w:asciiTheme="majorHAnsi" w:hAnsiTheme="majorHAnsi" w:cstheme="majorHAnsi"/>
        </w:rPr>
      </w:pPr>
      <w:r>
        <w:rPr>
          <w:rFonts w:asciiTheme="majorHAnsi" w:hAnsiTheme="majorHAnsi" w:cstheme="majorHAnsi"/>
        </w:rPr>
        <w:t xml:space="preserve">Ukoliko se posmatra sektorska struktura obrta, </w:t>
      </w:r>
      <w:r w:rsidR="00322A89">
        <w:rPr>
          <w:rFonts w:asciiTheme="majorHAnsi" w:hAnsiTheme="majorHAnsi" w:cstheme="majorHAnsi"/>
        </w:rPr>
        <w:t>n</w:t>
      </w:r>
      <w:r w:rsidR="004C5A0C" w:rsidRPr="00ED7B99">
        <w:rPr>
          <w:rFonts w:asciiTheme="majorHAnsi" w:hAnsiTheme="majorHAnsi" w:cstheme="majorHAnsi"/>
        </w:rPr>
        <w:t xml:space="preserve">ajveći broj obrtnika </w:t>
      </w:r>
      <w:r w:rsidR="00322A89">
        <w:rPr>
          <w:rFonts w:asciiTheme="majorHAnsi" w:hAnsiTheme="majorHAnsi" w:cstheme="majorHAnsi"/>
        </w:rPr>
        <w:t>iz FBiH</w:t>
      </w:r>
      <w:r w:rsidR="004C5A0C" w:rsidRPr="00ED7B99">
        <w:rPr>
          <w:rFonts w:asciiTheme="majorHAnsi" w:hAnsiTheme="majorHAnsi" w:cstheme="majorHAnsi"/>
        </w:rPr>
        <w:t xml:space="preserve"> posluje u djelatnosti Trgovine na veliko i malo; popravak motornih vozila i motocikala, i to 22,7% od ukupnog broja obrta na nivou FBiH u 2021. godini. </w:t>
      </w:r>
      <w:r w:rsidR="00322A89">
        <w:rPr>
          <w:rFonts w:asciiTheme="majorHAnsi" w:hAnsiTheme="majorHAnsi" w:cstheme="majorHAnsi"/>
        </w:rPr>
        <w:t>Ipak</w:t>
      </w:r>
      <w:r w:rsidR="004C5A0C" w:rsidRPr="00ED7B99">
        <w:rPr>
          <w:rFonts w:asciiTheme="majorHAnsi" w:hAnsiTheme="majorHAnsi" w:cstheme="majorHAnsi"/>
        </w:rPr>
        <w:t>, u navedenoj djelatnosti bilježi se kontinuiran pad obrta od 2018. godine, što ukazuje na nedovoljnu održivost poslovni</w:t>
      </w:r>
      <w:r w:rsidR="00322A89">
        <w:rPr>
          <w:rFonts w:asciiTheme="majorHAnsi" w:hAnsiTheme="majorHAnsi" w:cstheme="majorHAnsi"/>
        </w:rPr>
        <w:t>h</w:t>
      </w:r>
      <w:r w:rsidR="004C5A0C" w:rsidRPr="00ED7B99">
        <w:rPr>
          <w:rFonts w:asciiTheme="majorHAnsi" w:hAnsiTheme="majorHAnsi" w:cstheme="majorHAnsi"/>
        </w:rPr>
        <w:t xml:space="preserve"> modela poslovnih poduhvata u ovoj djelatosti, impl</w:t>
      </w:r>
      <w:r w:rsidR="00322A89">
        <w:rPr>
          <w:rFonts w:asciiTheme="majorHAnsi" w:hAnsiTheme="majorHAnsi" w:cstheme="majorHAnsi"/>
        </w:rPr>
        <w:t xml:space="preserve">icirajući </w:t>
      </w:r>
      <w:r w:rsidR="004C5A0C" w:rsidRPr="00ED7B99">
        <w:rPr>
          <w:rFonts w:asciiTheme="majorHAnsi" w:hAnsiTheme="majorHAnsi" w:cstheme="majorHAnsi"/>
        </w:rPr>
        <w:t xml:space="preserve"> potrebu za unapređenjem menadžerskih i drugih kompetencija obrtnika u svrhu očuvanja navedenih subjekata na tržištu. </w:t>
      </w:r>
    </w:p>
    <w:p w14:paraId="77731A84" w14:textId="70E4BA97" w:rsidR="00322A89" w:rsidRDefault="00322A89" w:rsidP="00322A89">
      <w:pPr>
        <w:pStyle w:val="Caption"/>
        <w:keepNext/>
      </w:pPr>
      <w:r>
        <w:t xml:space="preserve">Tabela </w:t>
      </w:r>
      <w:fldSimple w:instr=" SEQ Tabela \* ARABIC ">
        <w:r w:rsidR="00DB6BC6">
          <w:rPr>
            <w:noProof/>
          </w:rPr>
          <w:t>19</w:t>
        </w:r>
      </w:fldSimple>
      <w:r>
        <w:t>. Broj obrta u FBiH po djelatnostima u periodu 2016.-2021. godna</w:t>
      </w:r>
    </w:p>
    <w:tbl>
      <w:tblPr>
        <w:tblW w:w="9513" w:type="dxa"/>
        <w:tblInd w:w="93" w:type="dxa"/>
        <w:tblLayout w:type="fixed"/>
        <w:tblLook w:val="0400" w:firstRow="0" w:lastRow="0" w:firstColumn="0" w:lastColumn="0" w:noHBand="0" w:noVBand="1"/>
      </w:tblPr>
      <w:tblGrid>
        <w:gridCol w:w="2992"/>
        <w:gridCol w:w="1086"/>
        <w:gridCol w:w="1087"/>
        <w:gridCol w:w="1087"/>
        <w:gridCol w:w="1087"/>
        <w:gridCol w:w="1087"/>
        <w:gridCol w:w="1087"/>
      </w:tblGrid>
      <w:tr w:rsidR="004C5A0C" w:rsidRPr="00322A89" w14:paraId="2F6F894E" w14:textId="77777777" w:rsidTr="00322A89">
        <w:trPr>
          <w:trHeight w:val="315"/>
        </w:trPr>
        <w:tc>
          <w:tcPr>
            <w:tcW w:w="2992"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35A82440" w14:textId="77777777" w:rsidR="004C5A0C" w:rsidRPr="00322A89" w:rsidRDefault="004C5A0C" w:rsidP="004C5A0C">
            <w:pPr>
              <w:spacing w:after="0" w:line="240" w:lineRule="auto"/>
              <w:jc w:val="center"/>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Kanton</w:t>
            </w:r>
          </w:p>
        </w:tc>
        <w:tc>
          <w:tcPr>
            <w:tcW w:w="1086" w:type="dxa"/>
            <w:tcBorders>
              <w:top w:val="nil"/>
              <w:left w:val="nil"/>
              <w:bottom w:val="single" w:sz="8" w:space="0" w:color="BCD6EE"/>
              <w:right w:val="single" w:sz="8" w:space="0" w:color="BCD6EE"/>
            </w:tcBorders>
            <w:shd w:val="clear" w:color="auto" w:fill="BCD9DE" w:themeFill="accent5" w:themeFillTint="66"/>
            <w:vAlign w:val="center"/>
          </w:tcPr>
          <w:p w14:paraId="0E836E9D" w14:textId="77777777" w:rsidR="004C5A0C" w:rsidRPr="00322A89" w:rsidRDefault="004C5A0C" w:rsidP="004C5A0C">
            <w:pPr>
              <w:spacing w:after="0" w:line="240" w:lineRule="auto"/>
              <w:jc w:val="center"/>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2016</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63373BD3" w14:textId="77777777" w:rsidR="004C5A0C" w:rsidRPr="00322A89" w:rsidRDefault="004C5A0C" w:rsidP="004C5A0C">
            <w:pPr>
              <w:spacing w:after="0" w:line="240" w:lineRule="auto"/>
              <w:jc w:val="center"/>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2017</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58FEEFBB" w14:textId="77777777" w:rsidR="004C5A0C" w:rsidRPr="00322A89" w:rsidRDefault="004C5A0C" w:rsidP="004C5A0C">
            <w:pPr>
              <w:spacing w:after="0" w:line="240" w:lineRule="auto"/>
              <w:jc w:val="center"/>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2018</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473FD038" w14:textId="77777777" w:rsidR="004C5A0C" w:rsidRPr="00322A89" w:rsidRDefault="004C5A0C" w:rsidP="004C5A0C">
            <w:pPr>
              <w:spacing w:after="0" w:line="240" w:lineRule="auto"/>
              <w:jc w:val="center"/>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2019</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7623D4C6" w14:textId="77777777" w:rsidR="004C5A0C" w:rsidRPr="00322A89" w:rsidRDefault="004C5A0C" w:rsidP="004C5A0C">
            <w:pPr>
              <w:spacing w:after="0" w:line="240" w:lineRule="auto"/>
              <w:jc w:val="center"/>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2020</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57A6A75D" w14:textId="77777777" w:rsidR="004C5A0C" w:rsidRPr="00322A89" w:rsidRDefault="004C5A0C" w:rsidP="004C5A0C">
            <w:pPr>
              <w:spacing w:after="0" w:line="240" w:lineRule="auto"/>
              <w:jc w:val="center"/>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2021</w:t>
            </w:r>
          </w:p>
        </w:tc>
      </w:tr>
      <w:tr w:rsidR="004C5A0C" w:rsidRPr="00322A89" w14:paraId="7D51DD3F"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64F34C1A"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A Poljoprivreda, šumarstvo i ribarstvo</w:t>
            </w:r>
          </w:p>
        </w:tc>
        <w:tc>
          <w:tcPr>
            <w:tcW w:w="1086" w:type="dxa"/>
            <w:tcBorders>
              <w:top w:val="nil"/>
              <w:left w:val="nil"/>
              <w:bottom w:val="single" w:sz="8" w:space="0" w:color="BCD6EE"/>
              <w:right w:val="single" w:sz="8" w:space="0" w:color="BCD6EE"/>
            </w:tcBorders>
            <w:shd w:val="clear" w:color="auto" w:fill="auto"/>
            <w:vAlign w:val="center"/>
          </w:tcPr>
          <w:p w14:paraId="64BB6852"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4.530</w:t>
            </w:r>
          </w:p>
        </w:tc>
        <w:tc>
          <w:tcPr>
            <w:tcW w:w="1087" w:type="dxa"/>
            <w:tcBorders>
              <w:top w:val="nil"/>
              <w:left w:val="nil"/>
              <w:bottom w:val="single" w:sz="8" w:space="0" w:color="BCD6EE"/>
              <w:right w:val="single" w:sz="8" w:space="0" w:color="BCD6EE"/>
            </w:tcBorders>
            <w:shd w:val="clear" w:color="auto" w:fill="auto"/>
            <w:vAlign w:val="center"/>
          </w:tcPr>
          <w:p w14:paraId="049DFAB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4.670</w:t>
            </w:r>
          </w:p>
        </w:tc>
        <w:tc>
          <w:tcPr>
            <w:tcW w:w="1087" w:type="dxa"/>
            <w:tcBorders>
              <w:top w:val="nil"/>
              <w:left w:val="nil"/>
              <w:bottom w:val="single" w:sz="8" w:space="0" w:color="BCD6EE"/>
              <w:right w:val="single" w:sz="8" w:space="0" w:color="BCD6EE"/>
            </w:tcBorders>
            <w:shd w:val="clear" w:color="auto" w:fill="auto"/>
            <w:vAlign w:val="center"/>
          </w:tcPr>
          <w:p w14:paraId="3BA7172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5.089</w:t>
            </w:r>
          </w:p>
        </w:tc>
        <w:tc>
          <w:tcPr>
            <w:tcW w:w="1087" w:type="dxa"/>
            <w:tcBorders>
              <w:top w:val="nil"/>
              <w:left w:val="nil"/>
              <w:bottom w:val="single" w:sz="8" w:space="0" w:color="BCD6EE"/>
              <w:right w:val="single" w:sz="8" w:space="0" w:color="BCD6EE"/>
            </w:tcBorders>
            <w:shd w:val="clear" w:color="auto" w:fill="auto"/>
            <w:vAlign w:val="center"/>
          </w:tcPr>
          <w:p w14:paraId="14308F4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5.060</w:t>
            </w:r>
          </w:p>
        </w:tc>
        <w:tc>
          <w:tcPr>
            <w:tcW w:w="1087" w:type="dxa"/>
            <w:tcBorders>
              <w:top w:val="nil"/>
              <w:left w:val="nil"/>
              <w:bottom w:val="single" w:sz="8" w:space="0" w:color="BCD6EE"/>
              <w:right w:val="single" w:sz="8" w:space="0" w:color="BCD6EE"/>
            </w:tcBorders>
            <w:shd w:val="clear" w:color="auto" w:fill="auto"/>
            <w:vAlign w:val="center"/>
          </w:tcPr>
          <w:p w14:paraId="25F6968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5.218</w:t>
            </w:r>
          </w:p>
        </w:tc>
        <w:tc>
          <w:tcPr>
            <w:tcW w:w="1087" w:type="dxa"/>
            <w:tcBorders>
              <w:top w:val="nil"/>
              <w:left w:val="nil"/>
              <w:bottom w:val="single" w:sz="8" w:space="0" w:color="BCD6EE"/>
              <w:right w:val="single" w:sz="8" w:space="0" w:color="BCD6EE"/>
            </w:tcBorders>
            <w:shd w:val="clear" w:color="auto" w:fill="auto"/>
            <w:vAlign w:val="center"/>
          </w:tcPr>
          <w:p w14:paraId="7FF88D4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5.130</w:t>
            </w:r>
          </w:p>
        </w:tc>
      </w:tr>
      <w:tr w:rsidR="004C5A0C" w:rsidRPr="00322A89" w14:paraId="5707ACD6"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48A1BA17"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B Vađenje ruda i kamena</w:t>
            </w:r>
          </w:p>
        </w:tc>
        <w:tc>
          <w:tcPr>
            <w:tcW w:w="1086" w:type="dxa"/>
            <w:tcBorders>
              <w:top w:val="nil"/>
              <w:left w:val="nil"/>
              <w:bottom w:val="single" w:sz="8" w:space="0" w:color="BCD6EE"/>
              <w:right w:val="single" w:sz="8" w:space="0" w:color="BCD6EE"/>
            </w:tcBorders>
            <w:shd w:val="clear" w:color="auto" w:fill="auto"/>
            <w:vAlign w:val="center"/>
          </w:tcPr>
          <w:p w14:paraId="7F6CD619"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10</w:t>
            </w:r>
          </w:p>
        </w:tc>
        <w:tc>
          <w:tcPr>
            <w:tcW w:w="1087" w:type="dxa"/>
            <w:tcBorders>
              <w:top w:val="nil"/>
              <w:left w:val="nil"/>
              <w:bottom w:val="single" w:sz="8" w:space="0" w:color="BCD6EE"/>
              <w:right w:val="single" w:sz="8" w:space="0" w:color="BCD6EE"/>
            </w:tcBorders>
            <w:shd w:val="clear" w:color="auto" w:fill="auto"/>
            <w:vAlign w:val="center"/>
          </w:tcPr>
          <w:p w14:paraId="0D5E83C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8</w:t>
            </w:r>
          </w:p>
        </w:tc>
        <w:tc>
          <w:tcPr>
            <w:tcW w:w="1087" w:type="dxa"/>
            <w:tcBorders>
              <w:top w:val="nil"/>
              <w:left w:val="nil"/>
              <w:bottom w:val="single" w:sz="8" w:space="0" w:color="BCD6EE"/>
              <w:right w:val="single" w:sz="8" w:space="0" w:color="BCD6EE"/>
            </w:tcBorders>
            <w:shd w:val="clear" w:color="auto" w:fill="auto"/>
            <w:vAlign w:val="center"/>
          </w:tcPr>
          <w:p w14:paraId="7DF34016"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w:t>
            </w:r>
          </w:p>
        </w:tc>
        <w:tc>
          <w:tcPr>
            <w:tcW w:w="1087" w:type="dxa"/>
            <w:tcBorders>
              <w:top w:val="nil"/>
              <w:left w:val="nil"/>
              <w:bottom w:val="single" w:sz="8" w:space="0" w:color="BCD6EE"/>
              <w:right w:val="single" w:sz="8" w:space="0" w:color="BCD6EE"/>
            </w:tcBorders>
            <w:shd w:val="clear" w:color="auto" w:fill="auto"/>
            <w:vAlign w:val="center"/>
          </w:tcPr>
          <w:p w14:paraId="77EE8C6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6</w:t>
            </w:r>
          </w:p>
        </w:tc>
        <w:tc>
          <w:tcPr>
            <w:tcW w:w="1087" w:type="dxa"/>
            <w:tcBorders>
              <w:top w:val="nil"/>
              <w:left w:val="nil"/>
              <w:bottom w:val="single" w:sz="8" w:space="0" w:color="BCD6EE"/>
              <w:right w:val="single" w:sz="8" w:space="0" w:color="BCD6EE"/>
            </w:tcBorders>
            <w:shd w:val="clear" w:color="auto" w:fill="auto"/>
            <w:vAlign w:val="center"/>
          </w:tcPr>
          <w:p w14:paraId="158DCB9A"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5</w:t>
            </w:r>
          </w:p>
        </w:tc>
        <w:tc>
          <w:tcPr>
            <w:tcW w:w="1087" w:type="dxa"/>
            <w:tcBorders>
              <w:top w:val="nil"/>
              <w:left w:val="nil"/>
              <w:bottom w:val="single" w:sz="8" w:space="0" w:color="BCD6EE"/>
              <w:right w:val="single" w:sz="8" w:space="0" w:color="BCD6EE"/>
            </w:tcBorders>
            <w:shd w:val="clear" w:color="auto" w:fill="auto"/>
            <w:vAlign w:val="center"/>
          </w:tcPr>
          <w:p w14:paraId="7BC8879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w:t>
            </w:r>
          </w:p>
        </w:tc>
      </w:tr>
      <w:tr w:rsidR="004C5A0C" w:rsidRPr="00322A89" w14:paraId="2CF9103C"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5C7E7212"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C Prerađivačka industrija</w:t>
            </w:r>
          </w:p>
        </w:tc>
        <w:tc>
          <w:tcPr>
            <w:tcW w:w="1086" w:type="dxa"/>
            <w:tcBorders>
              <w:top w:val="nil"/>
              <w:left w:val="nil"/>
              <w:bottom w:val="single" w:sz="8" w:space="0" w:color="BCD6EE"/>
              <w:right w:val="single" w:sz="8" w:space="0" w:color="BCD6EE"/>
            </w:tcBorders>
            <w:shd w:val="clear" w:color="auto" w:fill="auto"/>
            <w:vAlign w:val="center"/>
          </w:tcPr>
          <w:p w14:paraId="79EAFEB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6.313</w:t>
            </w:r>
          </w:p>
        </w:tc>
        <w:tc>
          <w:tcPr>
            <w:tcW w:w="1087" w:type="dxa"/>
            <w:tcBorders>
              <w:top w:val="nil"/>
              <w:left w:val="nil"/>
              <w:bottom w:val="single" w:sz="8" w:space="0" w:color="BCD6EE"/>
              <w:right w:val="single" w:sz="8" w:space="0" w:color="BCD6EE"/>
            </w:tcBorders>
            <w:shd w:val="clear" w:color="auto" w:fill="auto"/>
            <w:vAlign w:val="center"/>
          </w:tcPr>
          <w:p w14:paraId="4739CA8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6.436</w:t>
            </w:r>
          </w:p>
        </w:tc>
        <w:tc>
          <w:tcPr>
            <w:tcW w:w="1087" w:type="dxa"/>
            <w:tcBorders>
              <w:top w:val="nil"/>
              <w:left w:val="nil"/>
              <w:bottom w:val="single" w:sz="8" w:space="0" w:color="BCD6EE"/>
              <w:right w:val="single" w:sz="8" w:space="0" w:color="BCD6EE"/>
            </w:tcBorders>
            <w:shd w:val="clear" w:color="auto" w:fill="auto"/>
            <w:vAlign w:val="center"/>
          </w:tcPr>
          <w:p w14:paraId="0F1C85FA"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6.704</w:t>
            </w:r>
          </w:p>
        </w:tc>
        <w:tc>
          <w:tcPr>
            <w:tcW w:w="1087" w:type="dxa"/>
            <w:tcBorders>
              <w:top w:val="nil"/>
              <w:left w:val="nil"/>
              <w:bottom w:val="single" w:sz="8" w:space="0" w:color="BCD6EE"/>
              <w:right w:val="single" w:sz="8" w:space="0" w:color="BCD6EE"/>
            </w:tcBorders>
            <w:shd w:val="clear" w:color="auto" w:fill="auto"/>
            <w:vAlign w:val="center"/>
          </w:tcPr>
          <w:p w14:paraId="544C79D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6.849</w:t>
            </w:r>
          </w:p>
        </w:tc>
        <w:tc>
          <w:tcPr>
            <w:tcW w:w="1087" w:type="dxa"/>
            <w:tcBorders>
              <w:top w:val="nil"/>
              <w:left w:val="nil"/>
              <w:bottom w:val="single" w:sz="8" w:space="0" w:color="BCD6EE"/>
              <w:right w:val="single" w:sz="8" w:space="0" w:color="BCD6EE"/>
            </w:tcBorders>
            <w:shd w:val="clear" w:color="auto" w:fill="auto"/>
            <w:vAlign w:val="center"/>
          </w:tcPr>
          <w:p w14:paraId="14EC46B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6.924</w:t>
            </w:r>
          </w:p>
        </w:tc>
        <w:tc>
          <w:tcPr>
            <w:tcW w:w="1087" w:type="dxa"/>
            <w:tcBorders>
              <w:top w:val="nil"/>
              <w:left w:val="nil"/>
              <w:bottom w:val="single" w:sz="8" w:space="0" w:color="BCD6EE"/>
              <w:right w:val="single" w:sz="8" w:space="0" w:color="BCD6EE"/>
            </w:tcBorders>
            <w:shd w:val="clear" w:color="auto" w:fill="auto"/>
            <w:vAlign w:val="center"/>
          </w:tcPr>
          <w:p w14:paraId="47629B9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7.008</w:t>
            </w:r>
          </w:p>
        </w:tc>
      </w:tr>
      <w:tr w:rsidR="004C5A0C" w:rsidRPr="00322A89" w14:paraId="3260C04F" w14:textId="77777777" w:rsidTr="00744E87">
        <w:trPr>
          <w:trHeight w:val="690"/>
        </w:trPr>
        <w:tc>
          <w:tcPr>
            <w:tcW w:w="2992" w:type="dxa"/>
            <w:tcBorders>
              <w:top w:val="nil"/>
              <w:left w:val="single" w:sz="8" w:space="0" w:color="BCD6EE"/>
              <w:bottom w:val="single" w:sz="8" w:space="0" w:color="BCD6EE"/>
              <w:right w:val="single" w:sz="8" w:space="0" w:color="BCD6EE"/>
            </w:tcBorders>
            <w:shd w:val="clear" w:color="auto" w:fill="auto"/>
            <w:vAlign w:val="center"/>
          </w:tcPr>
          <w:p w14:paraId="69F08FBB"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D Proizvodnja i snabdjevanje/opskrba električnom</w:t>
            </w:r>
            <w:r w:rsidRPr="00322A89">
              <w:rPr>
                <w:rFonts w:asciiTheme="majorHAnsi" w:hAnsiTheme="majorHAnsi" w:cstheme="majorHAnsi"/>
                <w:b/>
                <w:color w:val="000000"/>
                <w:sz w:val="20"/>
                <w:szCs w:val="20"/>
              </w:rPr>
              <w:br/>
              <w:t>energijom, plinom, parom i klimatizacija</w:t>
            </w:r>
          </w:p>
        </w:tc>
        <w:tc>
          <w:tcPr>
            <w:tcW w:w="1086" w:type="dxa"/>
            <w:tcBorders>
              <w:top w:val="nil"/>
              <w:left w:val="nil"/>
              <w:bottom w:val="single" w:sz="8" w:space="0" w:color="BCD6EE"/>
              <w:right w:val="single" w:sz="8" w:space="0" w:color="BCD6EE"/>
            </w:tcBorders>
            <w:shd w:val="clear" w:color="auto" w:fill="auto"/>
            <w:vAlign w:val="center"/>
          </w:tcPr>
          <w:p w14:paraId="4CC6F324"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71</w:t>
            </w:r>
          </w:p>
        </w:tc>
        <w:tc>
          <w:tcPr>
            <w:tcW w:w="1087" w:type="dxa"/>
            <w:tcBorders>
              <w:top w:val="nil"/>
              <w:left w:val="nil"/>
              <w:bottom w:val="single" w:sz="8" w:space="0" w:color="BCD6EE"/>
              <w:right w:val="single" w:sz="8" w:space="0" w:color="BCD6EE"/>
            </w:tcBorders>
            <w:shd w:val="clear" w:color="auto" w:fill="auto"/>
            <w:vAlign w:val="center"/>
          </w:tcPr>
          <w:p w14:paraId="076A8FBD"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72</w:t>
            </w:r>
          </w:p>
        </w:tc>
        <w:tc>
          <w:tcPr>
            <w:tcW w:w="1087" w:type="dxa"/>
            <w:tcBorders>
              <w:top w:val="nil"/>
              <w:left w:val="nil"/>
              <w:bottom w:val="single" w:sz="8" w:space="0" w:color="BCD6EE"/>
              <w:right w:val="single" w:sz="8" w:space="0" w:color="BCD6EE"/>
            </w:tcBorders>
            <w:shd w:val="clear" w:color="auto" w:fill="auto"/>
            <w:vAlign w:val="center"/>
          </w:tcPr>
          <w:p w14:paraId="1E18E91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74</w:t>
            </w:r>
          </w:p>
        </w:tc>
        <w:tc>
          <w:tcPr>
            <w:tcW w:w="1087" w:type="dxa"/>
            <w:tcBorders>
              <w:top w:val="nil"/>
              <w:left w:val="nil"/>
              <w:bottom w:val="single" w:sz="8" w:space="0" w:color="BCD6EE"/>
              <w:right w:val="single" w:sz="8" w:space="0" w:color="BCD6EE"/>
            </w:tcBorders>
            <w:shd w:val="clear" w:color="auto" w:fill="auto"/>
            <w:vAlign w:val="center"/>
          </w:tcPr>
          <w:p w14:paraId="3CB36110"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91</w:t>
            </w:r>
          </w:p>
        </w:tc>
        <w:tc>
          <w:tcPr>
            <w:tcW w:w="1087" w:type="dxa"/>
            <w:tcBorders>
              <w:top w:val="nil"/>
              <w:left w:val="nil"/>
              <w:bottom w:val="single" w:sz="8" w:space="0" w:color="BCD6EE"/>
              <w:right w:val="single" w:sz="8" w:space="0" w:color="BCD6EE"/>
            </w:tcBorders>
            <w:shd w:val="clear" w:color="auto" w:fill="auto"/>
            <w:vAlign w:val="center"/>
          </w:tcPr>
          <w:p w14:paraId="489F7BC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159</w:t>
            </w:r>
          </w:p>
        </w:tc>
        <w:tc>
          <w:tcPr>
            <w:tcW w:w="1087" w:type="dxa"/>
            <w:tcBorders>
              <w:top w:val="nil"/>
              <w:left w:val="nil"/>
              <w:bottom w:val="single" w:sz="8" w:space="0" w:color="BCD6EE"/>
              <w:right w:val="single" w:sz="8" w:space="0" w:color="BCD6EE"/>
            </w:tcBorders>
            <w:shd w:val="clear" w:color="auto" w:fill="auto"/>
            <w:vAlign w:val="center"/>
          </w:tcPr>
          <w:p w14:paraId="295B65E5"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257</w:t>
            </w:r>
          </w:p>
        </w:tc>
      </w:tr>
      <w:tr w:rsidR="004C5A0C" w:rsidRPr="00322A89" w14:paraId="1A6C1477" w14:textId="77777777" w:rsidTr="00744E87">
        <w:trPr>
          <w:trHeight w:val="690"/>
        </w:trPr>
        <w:tc>
          <w:tcPr>
            <w:tcW w:w="2992" w:type="dxa"/>
            <w:tcBorders>
              <w:top w:val="nil"/>
              <w:left w:val="single" w:sz="8" w:space="0" w:color="BCD6EE"/>
              <w:bottom w:val="single" w:sz="8" w:space="0" w:color="BCD6EE"/>
              <w:right w:val="single" w:sz="8" w:space="0" w:color="BCD6EE"/>
            </w:tcBorders>
            <w:shd w:val="clear" w:color="auto" w:fill="auto"/>
            <w:vAlign w:val="center"/>
          </w:tcPr>
          <w:p w14:paraId="44BE606E"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E Snabdjevanje/opskrba vodom; uklanjanje otpadnih voda, upravljanje otpadom te djelatnosti sanacije okoliša</w:t>
            </w:r>
          </w:p>
        </w:tc>
        <w:tc>
          <w:tcPr>
            <w:tcW w:w="1086" w:type="dxa"/>
            <w:tcBorders>
              <w:top w:val="nil"/>
              <w:left w:val="nil"/>
              <w:bottom w:val="single" w:sz="8" w:space="0" w:color="BCD6EE"/>
              <w:right w:val="single" w:sz="8" w:space="0" w:color="BCD6EE"/>
            </w:tcBorders>
            <w:shd w:val="clear" w:color="auto" w:fill="auto"/>
            <w:vAlign w:val="center"/>
          </w:tcPr>
          <w:p w14:paraId="56862B9C"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36</w:t>
            </w:r>
          </w:p>
        </w:tc>
        <w:tc>
          <w:tcPr>
            <w:tcW w:w="1087" w:type="dxa"/>
            <w:tcBorders>
              <w:top w:val="nil"/>
              <w:left w:val="nil"/>
              <w:bottom w:val="single" w:sz="8" w:space="0" w:color="BCD6EE"/>
              <w:right w:val="single" w:sz="8" w:space="0" w:color="BCD6EE"/>
            </w:tcBorders>
            <w:shd w:val="clear" w:color="auto" w:fill="auto"/>
            <w:vAlign w:val="center"/>
          </w:tcPr>
          <w:p w14:paraId="7443DCB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36</w:t>
            </w:r>
          </w:p>
        </w:tc>
        <w:tc>
          <w:tcPr>
            <w:tcW w:w="1087" w:type="dxa"/>
            <w:tcBorders>
              <w:top w:val="nil"/>
              <w:left w:val="nil"/>
              <w:bottom w:val="single" w:sz="8" w:space="0" w:color="BCD6EE"/>
              <w:right w:val="single" w:sz="8" w:space="0" w:color="BCD6EE"/>
            </w:tcBorders>
            <w:shd w:val="clear" w:color="auto" w:fill="auto"/>
            <w:vAlign w:val="center"/>
          </w:tcPr>
          <w:p w14:paraId="6A77E2B3"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38</w:t>
            </w:r>
          </w:p>
        </w:tc>
        <w:tc>
          <w:tcPr>
            <w:tcW w:w="1087" w:type="dxa"/>
            <w:tcBorders>
              <w:top w:val="nil"/>
              <w:left w:val="nil"/>
              <w:bottom w:val="single" w:sz="8" w:space="0" w:color="BCD6EE"/>
              <w:right w:val="single" w:sz="8" w:space="0" w:color="BCD6EE"/>
            </w:tcBorders>
            <w:shd w:val="clear" w:color="auto" w:fill="auto"/>
            <w:vAlign w:val="center"/>
          </w:tcPr>
          <w:p w14:paraId="1440D51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43</w:t>
            </w:r>
          </w:p>
        </w:tc>
        <w:tc>
          <w:tcPr>
            <w:tcW w:w="1087" w:type="dxa"/>
            <w:tcBorders>
              <w:top w:val="nil"/>
              <w:left w:val="nil"/>
              <w:bottom w:val="single" w:sz="8" w:space="0" w:color="BCD6EE"/>
              <w:right w:val="single" w:sz="8" w:space="0" w:color="BCD6EE"/>
            </w:tcBorders>
            <w:shd w:val="clear" w:color="auto" w:fill="auto"/>
            <w:vAlign w:val="center"/>
          </w:tcPr>
          <w:p w14:paraId="163C2BC0"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46</w:t>
            </w:r>
          </w:p>
        </w:tc>
        <w:tc>
          <w:tcPr>
            <w:tcW w:w="1087" w:type="dxa"/>
            <w:tcBorders>
              <w:top w:val="nil"/>
              <w:left w:val="nil"/>
              <w:bottom w:val="single" w:sz="8" w:space="0" w:color="BCD6EE"/>
              <w:right w:val="single" w:sz="8" w:space="0" w:color="BCD6EE"/>
            </w:tcBorders>
            <w:shd w:val="clear" w:color="auto" w:fill="auto"/>
            <w:vAlign w:val="center"/>
          </w:tcPr>
          <w:p w14:paraId="1D672E6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49</w:t>
            </w:r>
          </w:p>
        </w:tc>
      </w:tr>
      <w:tr w:rsidR="004C5A0C" w:rsidRPr="00322A89" w14:paraId="5C9DBCF5"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3F59D40D"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F Građevinarstvo</w:t>
            </w:r>
          </w:p>
        </w:tc>
        <w:tc>
          <w:tcPr>
            <w:tcW w:w="1086" w:type="dxa"/>
            <w:tcBorders>
              <w:top w:val="nil"/>
              <w:left w:val="nil"/>
              <w:bottom w:val="single" w:sz="8" w:space="0" w:color="BCD6EE"/>
              <w:right w:val="single" w:sz="8" w:space="0" w:color="BCD6EE"/>
            </w:tcBorders>
            <w:shd w:val="clear" w:color="auto" w:fill="auto"/>
            <w:vAlign w:val="center"/>
          </w:tcPr>
          <w:p w14:paraId="7428C0C0"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1.973</w:t>
            </w:r>
          </w:p>
        </w:tc>
        <w:tc>
          <w:tcPr>
            <w:tcW w:w="1087" w:type="dxa"/>
            <w:tcBorders>
              <w:top w:val="nil"/>
              <w:left w:val="nil"/>
              <w:bottom w:val="single" w:sz="8" w:space="0" w:color="BCD6EE"/>
              <w:right w:val="single" w:sz="8" w:space="0" w:color="BCD6EE"/>
            </w:tcBorders>
            <w:shd w:val="clear" w:color="auto" w:fill="auto"/>
            <w:vAlign w:val="center"/>
          </w:tcPr>
          <w:p w14:paraId="5A777145"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1.967</w:t>
            </w:r>
          </w:p>
        </w:tc>
        <w:tc>
          <w:tcPr>
            <w:tcW w:w="1087" w:type="dxa"/>
            <w:tcBorders>
              <w:top w:val="nil"/>
              <w:left w:val="nil"/>
              <w:bottom w:val="single" w:sz="8" w:space="0" w:color="BCD6EE"/>
              <w:right w:val="single" w:sz="8" w:space="0" w:color="BCD6EE"/>
            </w:tcBorders>
            <w:shd w:val="clear" w:color="auto" w:fill="auto"/>
            <w:vAlign w:val="center"/>
          </w:tcPr>
          <w:p w14:paraId="33415715"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2.117</w:t>
            </w:r>
          </w:p>
        </w:tc>
        <w:tc>
          <w:tcPr>
            <w:tcW w:w="1087" w:type="dxa"/>
            <w:tcBorders>
              <w:top w:val="nil"/>
              <w:left w:val="nil"/>
              <w:bottom w:val="single" w:sz="8" w:space="0" w:color="BCD6EE"/>
              <w:right w:val="single" w:sz="8" w:space="0" w:color="BCD6EE"/>
            </w:tcBorders>
            <w:shd w:val="clear" w:color="auto" w:fill="auto"/>
            <w:vAlign w:val="center"/>
          </w:tcPr>
          <w:p w14:paraId="6CB6937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2.206</w:t>
            </w:r>
          </w:p>
        </w:tc>
        <w:tc>
          <w:tcPr>
            <w:tcW w:w="1087" w:type="dxa"/>
            <w:tcBorders>
              <w:top w:val="nil"/>
              <w:left w:val="nil"/>
              <w:bottom w:val="single" w:sz="8" w:space="0" w:color="BCD6EE"/>
              <w:right w:val="single" w:sz="8" w:space="0" w:color="BCD6EE"/>
            </w:tcBorders>
            <w:shd w:val="clear" w:color="auto" w:fill="auto"/>
            <w:vAlign w:val="center"/>
          </w:tcPr>
          <w:p w14:paraId="33456B4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2.333</w:t>
            </w:r>
          </w:p>
        </w:tc>
        <w:tc>
          <w:tcPr>
            <w:tcW w:w="1087" w:type="dxa"/>
            <w:tcBorders>
              <w:top w:val="nil"/>
              <w:left w:val="nil"/>
              <w:bottom w:val="single" w:sz="8" w:space="0" w:color="BCD6EE"/>
              <w:right w:val="single" w:sz="8" w:space="0" w:color="BCD6EE"/>
            </w:tcBorders>
            <w:shd w:val="clear" w:color="auto" w:fill="auto"/>
            <w:vAlign w:val="center"/>
          </w:tcPr>
          <w:p w14:paraId="0931F557"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2.496</w:t>
            </w:r>
          </w:p>
        </w:tc>
      </w:tr>
      <w:tr w:rsidR="004C5A0C" w:rsidRPr="00322A89" w14:paraId="787C90A9" w14:textId="77777777" w:rsidTr="00744E87">
        <w:trPr>
          <w:trHeight w:val="465"/>
        </w:trPr>
        <w:tc>
          <w:tcPr>
            <w:tcW w:w="2992" w:type="dxa"/>
            <w:tcBorders>
              <w:top w:val="nil"/>
              <w:left w:val="single" w:sz="8" w:space="0" w:color="BCD6EE"/>
              <w:bottom w:val="single" w:sz="8" w:space="0" w:color="BCD6EE"/>
              <w:right w:val="single" w:sz="8" w:space="0" w:color="BCD6EE"/>
            </w:tcBorders>
            <w:shd w:val="clear" w:color="auto" w:fill="auto"/>
            <w:vAlign w:val="center"/>
          </w:tcPr>
          <w:p w14:paraId="2A66DF3E"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G Trgovina na veliko i malo; popravak motornih vozila i motocikla</w:t>
            </w:r>
          </w:p>
        </w:tc>
        <w:tc>
          <w:tcPr>
            <w:tcW w:w="1086" w:type="dxa"/>
            <w:tcBorders>
              <w:top w:val="nil"/>
              <w:left w:val="nil"/>
              <w:bottom w:val="single" w:sz="8" w:space="0" w:color="BCD6EE"/>
              <w:right w:val="single" w:sz="8" w:space="0" w:color="BCD6EE"/>
            </w:tcBorders>
            <w:shd w:val="clear" w:color="auto" w:fill="auto"/>
            <w:vAlign w:val="center"/>
          </w:tcPr>
          <w:p w14:paraId="478F180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12.691</w:t>
            </w:r>
          </w:p>
        </w:tc>
        <w:tc>
          <w:tcPr>
            <w:tcW w:w="1087" w:type="dxa"/>
            <w:tcBorders>
              <w:top w:val="nil"/>
              <w:left w:val="nil"/>
              <w:bottom w:val="single" w:sz="8" w:space="0" w:color="BCD6EE"/>
              <w:right w:val="single" w:sz="8" w:space="0" w:color="BCD6EE"/>
            </w:tcBorders>
            <w:shd w:val="clear" w:color="auto" w:fill="auto"/>
            <w:vAlign w:val="center"/>
          </w:tcPr>
          <w:p w14:paraId="5798A6F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12.047</w:t>
            </w:r>
          </w:p>
        </w:tc>
        <w:tc>
          <w:tcPr>
            <w:tcW w:w="1087" w:type="dxa"/>
            <w:tcBorders>
              <w:top w:val="nil"/>
              <w:left w:val="nil"/>
              <w:bottom w:val="single" w:sz="8" w:space="0" w:color="BCD6EE"/>
              <w:right w:val="single" w:sz="8" w:space="0" w:color="BCD6EE"/>
            </w:tcBorders>
            <w:shd w:val="clear" w:color="auto" w:fill="auto"/>
            <w:vAlign w:val="center"/>
          </w:tcPr>
          <w:p w14:paraId="164A524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12.699</w:t>
            </w:r>
          </w:p>
        </w:tc>
        <w:tc>
          <w:tcPr>
            <w:tcW w:w="1087" w:type="dxa"/>
            <w:tcBorders>
              <w:top w:val="nil"/>
              <w:left w:val="nil"/>
              <w:bottom w:val="single" w:sz="8" w:space="0" w:color="BCD6EE"/>
              <w:right w:val="single" w:sz="8" w:space="0" w:color="BCD6EE"/>
            </w:tcBorders>
            <w:shd w:val="clear" w:color="auto" w:fill="auto"/>
            <w:vAlign w:val="center"/>
          </w:tcPr>
          <w:p w14:paraId="3C446EDA"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12.546</w:t>
            </w:r>
          </w:p>
        </w:tc>
        <w:tc>
          <w:tcPr>
            <w:tcW w:w="1087" w:type="dxa"/>
            <w:tcBorders>
              <w:top w:val="nil"/>
              <w:left w:val="nil"/>
              <w:bottom w:val="single" w:sz="8" w:space="0" w:color="BCD6EE"/>
              <w:right w:val="single" w:sz="8" w:space="0" w:color="BCD6EE"/>
            </w:tcBorders>
            <w:shd w:val="clear" w:color="auto" w:fill="auto"/>
            <w:vAlign w:val="center"/>
          </w:tcPr>
          <w:p w14:paraId="285D65F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12.294</w:t>
            </w:r>
          </w:p>
        </w:tc>
        <w:tc>
          <w:tcPr>
            <w:tcW w:w="1087" w:type="dxa"/>
            <w:tcBorders>
              <w:top w:val="nil"/>
              <w:left w:val="nil"/>
              <w:bottom w:val="single" w:sz="8" w:space="0" w:color="BCD6EE"/>
              <w:right w:val="single" w:sz="8" w:space="0" w:color="BCD6EE"/>
            </w:tcBorders>
            <w:shd w:val="clear" w:color="auto" w:fill="auto"/>
            <w:vAlign w:val="center"/>
          </w:tcPr>
          <w:p w14:paraId="221E1E49"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12.047</w:t>
            </w:r>
          </w:p>
        </w:tc>
      </w:tr>
      <w:tr w:rsidR="004C5A0C" w:rsidRPr="00322A89" w14:paraId="16D459F6"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5DC6A1CC"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H Prijevoz i skladištenje</w:t>
            </w:r>
          </w:p>
        </w:tc>
        <w:tc>
          <w:tcPr>
            <w:tcW w:w="1086" w:type="dxa"/>
            <w:tcBorders>
              <w:top w:val="nil"/>
              <w:left w:val="nil"/>
              <w:bottom w:val="single" w:sz="8" w:space="0" w:color="BCD6EE"/>
              <w:right w:val="single" w:sz="8" w:space="0" w:color="BCD6EE"/>
            </w:tcBorders>
            <w:shd w:val="clear" w:color="auto" w:fill="auto"/>
            <w:vAlign w:val="center"/>
          </w:tcPr>
          <w:p w14:paraId="2839F96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4.450</w:t>
            </w:r>
          </w:p>
        </w:tc>
        <w:tc>
          <w:tcPr>
            <w:tcW w:w="1087" w:type="dxa"/>
            <w:tcBorders>
              <w:top w:val="nil"/>
              <w:left w:val="nil"/>
              <w:bottom w:val="single" w:sz="8" w:space="0" w:color="BCD6EE"/>
              <w:right w:val="single" w:sz="8" w:space="0" w:color="BCD6EE"/>
            </w:tcBorders>
            <w:shd w:val="clear" w:color="auto" w:fill="auto"/>
            <w:vAlign w:val="center"/>
          </w:tcPr>
          <w:p w14:paraId="5322E77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4.366</w:t>
            </w:r>
          </w:p>
        </w:tc>
        <w:tc>
          <w:tcPr>
            <w:tcW w:w="1087" w:type="dxa"/>
            <w:tcBorders>
              <w:top w:val="nil"/>
              <w:left w:val="nil"/>
              <w:bottom w:val="single" w:sz="8" w:space="0" w:color="BCD6EE"/>
              <w:right w:val="single" w:sz="8" w:space="0" w:color="BCD6EE"/>
            </w:tcBorders>
            <w:shd w:val="clear" w:color="auto" w:fill="auto"/>
            <w:vAlign w:val="center"/>
          </w:tcPr>
          <w:p w14:paraId="7D17DA9C"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4.416</w:t>
            </w:r>
          </w:p>
        </w:tc>
        <w:tc>
          <w:tcPr>
            <w:tcW w:w="1087" w:type="dxa"/>
            <w:tcBorders>
              <w:top w:val="nil"/>
              <w:left w:val="nil"/>
              <w:bottom w:val="single" w:sz="8" w:space="0" w:color="BCD6EE"/>
              <w:right w:val="single" w:sz="8" w:space="0" w:color="BCD6EE"/>
            </w:tcBorders>
            <w:shd w:val="clear" w:color="auto" w:fill="auto"/>
            <w:vAlign w:val="center"/>
          </w:tcPr>
          <w:p w14:paraId="172A8CF5"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4.414</w:t>
            </w:r>
          </w:p>
        </w:tc>
        <w:tc>
          <w:tcPr>
            <w:tcW w:w="1087" w:type="dxa"/>
            <w:tcBorders>
              <w:top w:val="nil"/>
              <w:left w:val="nil"/>
              <w:bottom w:val="single" w:sz="8" w:space="0" w:color="BCD6EE"/>
              <w:right w:val="single" w:sz="8" w:space="0" w:color="BCD6EE"/>
            </w:tcBorders>
            <w:shd w:val="clear" w:color="auto" w:fill="auto"/>
            <w:vAlign w:val="center"/>
          </w:tcPr>
          <w:p w14:paraId="566E5743"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4.362</w:t>
            </w:r>
          </w:p>
        </w:tc>
        <w:tc>
          <w:tcPr>
            <w:tcW w:w="1087" w:type="dxa"/>
            <w:tcBorders>
              <w:top w:val="nil"/>
              <w:left w:val="nil"/>
              <w:bottom w:val="single" w:sz="8" w:space="0" w:color="BCD6EE"/>
              <w:right w:val="single" w:sz="8" w:space="0" w:color="BCD6EE"/>
            </w:tcBorders>
            <w:shd w:val="clear" w:color="auto" w:fill="auto"/>
            <w:vAlign w:val="center"/>
          </w:tcPr>
          <w:p w14:paraId="62169162"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4.324</w:t>
            </w:r>
          </w:p>
        </w:tc>
      </w:tr>
      <w:tr w:rsidR="004C5A0C" w:rsidRPr="00322A89" w14:paraId="5EC1EFEF" w14:textId="77777777" w:rsidTr="00744E87">
        <w:trPr>
          <w:trHeight w:val="690"/>
        </w:trPr>
        <w:tc>
          <w:tcPr>
            <w:tcW w:w="2992" w:type="dxa"/>
            <w:tcBorders>
              <w:top w:val="nil"/>
              <w:left w:val="single" w:sz="8" w:space="0" w:color="BCD6EE"/>
              <w:bottom w:val="single" w:sz="8" w:space="0" w:color="BCD6EE"/>
              <w:right w:val="single" w:sz="8" w:space="0" w:color="BCD6EE"/>
            </w:tcBorders>
            <w:shd w:val="clear" w:color="auto" w:fill="auto"/>
            <w:vAlign w:val="center"/>
          </w:tcPr>
          <w:p w14:paraId="6B8BE16B"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I Djelatnosti pružanja smještaja te priprema i usluživanja hrane ( hotelijerstvo iugostiteljstvo )</w:t>
            </w:r>
          </w:p>
        </w:tc>
        <w:tc>
          <w:tcPr>
            <w:tcW w:w="1086" w:type="dxa"/>
            <w:tcBorders>
              <w:top w:val="nil"/>
              <w:left w:val="nil"/>
              <w:bottom w:val="single" w:sz="8" w:space="0" w:color="BCD6EE"/>
              <w:right w:val="single" w:sz="8" w:space="0" w:color="BCD6EE"/>
            </w:tcBorders>
            <w:shd w:val="clear" w:color="auto" w:fill="auto"/>
            <w:vAlign w:val="center"/>
          </w:tcPr>
          <w:p w14:paraId="7053C8C5"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9.438</w:t>
            </w:r>
          </w:p>
        </w:tc>
        <w:tc>
          <w:tcPr>
            <w:tcW w:w="1087" w:type="dxa"/>
            <w:tcBorders>
              <w:top w:val="nil"/>
              <w:left w:val="nil"/>
              <w:bottom w:val="single" w:sz="8" w:space="0" w:color="BCD6EE"/>
              <w:right w:val="single" w:sz="8" w:space="0" w:color="BCD6EE"/>
            </w:tcBorders>
            <w:shd w:val="clear" w:color="auto" w:fill="auto"/>
            <w:vAlign w:val="center"/>
          </w:tcPr>
          <w:p w14:paraId="594A13F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8.999</w:t>
            </w:r>
          </w:p>
        </w:tc>
        <w:tc>
          <w:tcPr>
            <w:tcW w:w="1087" w:type="dxa"/>
            <w:tcBorders>
              <w:top w:val="nil"/>
              <w:left w:val="nil"/>
              <w:bottom w:val="single" w:sz="8" w:space="0" w:color="BCD6EE"/>
              <w:right w:val="single" w:sz="8" w:space="0" w:color="BCD6EE"/>
            </w:tcBorders>
            <w:shd w:val="clear" w:color="auto" w:fill="auto"/>
            <w:vAlign w:val="center"/>
          </w:tcPr>
          <w:p w14:paraId="09EDDCC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9.398</w:t>
            </w:r>
          </w:p>
        </w:tc>
        <w:tc>
          <w:tcPr>
            <w:tcW w:w="1087" w:type="dxa"/>
            <w:tcBorders>
              <w:top w:val="nil"/>
              <w:left w:val="nil"/>
              <w:bottom w:val="single" w:sz="8" w:space="0" w:color="BCD6EE"/>
              <w:right w:val="single" w:sz="8" w:space="0" w:color="BCD6EE"/>
            </w:tcBorders>
            <w:shd w:val="clear" w:color="auto" w:fill="auto"/>
            <w:vAlign w:val="center"/>
          </w:tcPr>
          <w:p w14:paraId="053C8309"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9.678</w:t>
            </w:r>
          </w:p>
        </w:tc>
        <w:tc>
          <w:tcPr>
            <w:tcW w:w="1087" w:type="dxa"/>
            <w:tcBorders>
              <w:top w:val="nil"/>
              <w:left w:val="nil"/>
              <w:bottom w:val="single" w:sz="8" w:space="0" w:color="BCD6EE"/>
              <w:right w:val="single" w:sz="8" w:space="0" w:color="BCD6EE"/>
            </w:tcBorders>
            <w:shd w:val="clear" w:color="auto" w:fill="auto"/>
            <w:vAlign w:val="center"/>
          </w:tcPr>
          <w:p w14:paraId="7D7BAC95"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9.746</w:t>
            </w:r>
          </w:p>
        </w:tc>
        <w:tc>
          <w:tcPr>
            <w:tcW w:w="1087" w:type="dxa"/>
            <w:tcBorders>
              <w:top w:val="nil"/>
              <w:left w:val="nil"/>
              <w:bottom w:val="single" w:sz="8" w:space="0" w:color="BCD6EE"/>
              <w:right w:val="single" w:sz="8" w:space="0" w:color="BCD6EE"/>
            </w:tcBorders>
            <w:shd w:val="clear" w:color="auto" w:fill="auto"/>
            <w:vAlign w:val="center"/>
          </w:tcPr>
          <w:p w14:paraId="0C98D8CD"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9.774</w:t>
            </w:r>
          </w:p>
        </w:tc>
      </w:tr>
      <w:tr w:rsidR="004C5A0C" w:rsidRPr="00322A89" w14:paraId="0827182F"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511E9E42"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J Informacije i komunikacije</w:t>
            </w:r>
          </w:p>
        </w:tc>
        <w:tc>
          <w:tcPr>
            <w:tcW w:w="1086" w:type="dxa"/>
            <w:tcBorders>
              <w:top w:val="nil"/>
              <w:left w:val="nil"/>
              <w:bottom w:val="single" w:sz="8" w:space="0" w:color="BCD6EE"/>
              <w:right w:val="single" w:sz="8" w:space="0" w:color="BCD6EE"/>
            </w:tcBorders>
            <w:shd w:val="clear" w:color="auto" w:fill="auto"/>
            <w:vAlign w:val="center"/>
          </w:tcPr>
          <w:p w14:paraId="1EAA1C2D"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515</w:t>
            </w:r>
          </w:p>
        </w:tc>
        <w:tc>
          <w:tcPr>
            <w:tcW w:w="1087" w:type="dxa"/>
            <w:tcBorders>
              <w:top w:val="nil"/>
              <w:left w:val="nil"/>
              <w:bottom w:val="single" w:sz="8" w:space="0" w:color="BCD6EE"/>
              <w:right w:val="single" w:sz="8" w:space="0" w:color="BCD6EE"/>
            </w:tcBorders>
            <w:shd w:val="clear" w:color="auto" w:fill="auto"/>
            <w:vAlign w:val="center"/>
          </w:tcPr>
          <w:p w14:paraId="7F07A7C9"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536</w:t>
            </w:r>
          </w:p>
        </w:tc>
        <w:tc>
          <w:tcPr>
            <w:tcW w:w="1087" w:type="dxa"/>
            <w:tcBorders>
              <w:top w:val="nil"/>
              <w:left w:val="nil"/>
              <w:bottom w:val="single" w:sz="8" w:space="0" w:color="BCD6EE"/>
              <w:right w:val="single" w:sz="8" w:space="0" w:color="BCD6EE"/>
            </w:tcBorders>
            <w:shd w:val="clear" w:color="auto" w:fill="auto"/>
            <w:vAlign w:val="center"/>
          </w:tcPr>
          <w:p w14:paraId="63BCC81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622</w:t>
            </w:r>
          </w:p>
        </w:tc>
        <w:tc>
          <w:tcPr>
            <w:tcW w:w="1087" w:type="dxa"/>
            <w:tcBorders>
              <w:top w:val="nil"/>
              <w:left w:val="nil"/>
              <w:bottom w:val="single" w:sz="8" w:space="0" w:color="BCD6EE"/>
              <w:right w:val="single" w:sz="8" w:space="0" w:color="BCD6EE"/>
            </w:tcBorders>
            <w:shd w:val="clear" w:color="auto" w:fill="auto"/>
            <w:vAlign w:val="center"/>
          </w:tcPr>
          <w:p w14:paraId="5C564213"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667</w:t>
            </w:r>
          </w:p>
        </w:tc>
        <w:tc>
          <w:tcPr>
            <w:tcW w:w="1087" w:type="dxa"/>
            <w:tcBorders>
              <w:top w:val="nil"/>
              <w:left w:val="nil"/>
              <w:bottom w:val="single" w:sz="8" w:space="0" w:color="BCD6EE"/>
              <w:right w:val="single" w:sz="8" w:space="0" w:color="BCD6EE"/>
            </w:tcBorders>
            <w:shd w:val="clear" w:color="auto" w:fill="auto"/>
            <w:vAlign w:val="center"/>
          </w:tcPr>
          <w:p w14:paraId="7431B38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711</w:t>
            </w:r>
          </w:p>
        </w:tc>
        <w:tc>
          <w:tcPr>
            <w:tcW w:w="1087" w:type="dxa"/>
            <w:tcBorders>
              <w:top w:val="nil"/>
              <w:left w:val="nil"/>
              <w:bottom w:val="single" w:sz="8" w:space="0" w:color="BCD6EE"/>
              <w:right w:val="single" w:sz="8" w:space="0" w:color="BCD6EE"/>
            </w:tcBorders>
            <w:shd w:val="clear" w:color="auto" w:fill="auto"/>
            <w:vAlign w:val="center"/>
          </w:tcPr>
          <w:p w14:paraId="31C25AE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821</w:t>
            </w:r>
          </w:p>
        </w:tc>
      </w:tr>
      <w:tr w:rsidR="004C5A0C" w:rsidRPr="00322A89" w14:paraId="166BE7FF" w14:textId="77777777" w:rsidTr="00744E87">
        <w:trPr>
          <w:trHeight w:val="465"/>
        </w:trPr>
        <w:tc>
          <w:tcPr>
            <w:tcW w:w="2992" w:type="dxa"/>
            <w:tcBorders>
              <w:top w:val="nil"/>
              <w:left w:val="single" w:sz="8" w:space="0" w:color="BCD6EE"/>
              <w:bottom w:val="single" w:sz="8" w:space="0" w:color="BCD6EE"/>
              <w:right w:val="single" w:sz="8" w:space="0" w:color="BCD6EE"/>
            </w:tcBorders>
            <w:shd w:val="clear" w:color="auto" w:fill="auto"/>
            <w:vAlign w:val="center"/>
          </w:tcPr>
          <w:p w14:paraId="5ED76DA2"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K Finansijske djelatnosti i djelatnosti osiguranja</w:t>
            </w:r>
          </w:p>
        </w:tc>
        <w:tc>
          <w:tcPr>
            <w:tcW w:w="1086" w:type="dxa"/>
            <w:tcBorders>
              <w:top w:val="nil"/>
              <w:left w:val="nil"/>
              <w:bottom w:val="single" w:sz="8" w:space="0" w:color="BCD6EE"/>
              <w:right w:val="single" w:sz="8" w:space="0" w:color="BCD6EE"/>
            </w:tcBorders>
            <w:shd w:val="clear" w:color="auto" w:fill="auto"/>
            <w:vAlign w:val="center"/>
          </w:tcPr>
          <w:p w14:paraId="0995C04A"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126</w:t>
            </w:r>
          </w:p>
        </w:tc>
        <w:tc>
          <w:tcPr>
            <w:tcW w:w="1087" w:type="dxa"/>
            <w:tcBorders>
              <w:top w:val="nil"/>
              <w:left w:val="nil"/>
              <w:bottom w:val="single" w:sz="8" w:space="0" w:color="BCD6EE"/>
              <w:right w:val="single" w:sz="8" w:space="0" w:color="BCD6EE"/>
            </w:tcBorders>
            <w:shd w:val="clear" w:color="auto" w:fill="auto"/>
            <w:vAlign w:val="center"/>
          </w:tcPr>
          <w:p w14:paraId="50FE8197"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136</w:t>
            </w:r>
          </w:p>
        </w:tc>
        <w:tc>
          <w:tcPr>
            <w:tcW w:w="1087" w:type="dxa"/>
            <w:tcBorders>
              <w:top w:val="nil"/>
              <w:left w:val="nil"/>
              <w:bottom w:val="single" w:sz="8" w:space="0" w:color="BCD6EE"/>
              <w:right w:val="single" w:sz="8" w:space="0" w:color="BCD6EE"/>
            </w:tcBorders>
            <w:shd w:val="clear" w:color="auto" w:fill="auto"/>
            <w:vAlign w:val="center"/>
          </w:tcPr>
          <w:p w14:paraId="4EBE6C39"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151</w:t>
            </w:r>
          </w:p>
        </w:tc>
        <w:tc>
          <w:tcPr>
            <w:tcW w:w="1087" w:type="dxa"/>
            <w:tcBorders>
              <w:top w:val="nil"/>
              <w:left w:val="nil"/>
              <w:bottom w:val="single" w:sz="8" w:space="0" w:color="BCD6EE"/>
              <w:right w:val="single" w:sz="8" w:space="0" w:color="BCD6EE"/>
            </w:tcBorders>
            <w:shd w:val="clear" w:color="auto" w:fill="auto"/>
            <w:vAlign w:val="center"/>
          </w:tcPr>
          <w:p w14:paraId="7A4AB5E6"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189</w:t>
            </w:r>
          </w:p>
        </w:tc>
        <w:tc>
          <w:tcPr>
            <w:tcW w:w="1087" w:type="dxa"/>
            <w:tcBorders>
              <w:top w:val="nil"/>
              <w:left w:val="nil"/>
              <w:bottom w:val="single" w:sz="8" w:space="0" w:color="BCD6EE"/>
              <w:right w:val="single" w:sz="8" w:space="0" w:color="BCD6EE"/>
            </w:tcBorders>
            <w:shd w:val="clear" w:color="auto" w:fill="auto"/>
            <w:vAlign w:val="center"/>
          </w:tcPr>
          <w:p w14:paraId="1F3127AD"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202</w:t>
            </w:r>
          </w:p>
        </w:tc>
        <w:tc>
          <w:tcPr>
            <w:tcW w:w="1087" w:type="dxa"/>
            <w:tcBorders>
              <w:top w:val="nil"/>
              <w:left w:val="nil"/>
              <w:bottom w:val="single" w:sz="8" w:space="0" w:color="BCD6EE"/>
              <w:right w:val="single" w:sz="8" w:space="0" w:color="BCD6EE"/>
            </w:tcBorders>
            <w:shd w:val="clear" w:color="auto" w:fill="auto"/>
            <w:vAlign w:val="center"/>
          </w:tcPr>
          <w:p w14:paraId="3BCBD9B6"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252</w:t>
            </w:r>
          </w:p>
        </w:tc>
      </w:tr>
      <w:tr w:rsidR="004C5A0C" w:rsidRPr="00322A89" w14:paraId="6A4AA95F"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44AFE30D"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L Poslovanje nekretninama</w:t>
            </w:r>
          </w:p>
        </w:tc>
        <w:tc>
          <w:tcPr>
            <w:tcW w:w="1086" w:type="dxa"/>
            <w:tcBorders>
              <w:top w:val="nil"/>
              <w:left w:val="nil"/>
              <w:bottom w:val="single" w:sz="8" w:space="0" w:color="BCD6EE"/>
              <w:right w:val="single" w:sz="8" w:space="0" w:color="BCD6EE"/>
            </w:tcBorders>
            <w:shd w:val="clear" w:color="auto" w:fill="auto"/>
            <w:vAlign w:val="center"/>
          </w:tcPr>
          <w:p w14:paraId="2AA63327"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101</w:t>
            </w:r>
          </w:p>
        </w:tc>
        <w:tc>
          <w:tcPr>
            <w:tcW w:w="1087" w:type="dxa"/>
            <w:tcBorders>
              <w:top w:val="nil"/>
              <w:left w:val="nil"/>
              <w:bottom w:val="single" w:sz="8" w:space="0" w:color="BCD6EE"/>
              <w:right w:val="single" w:sz="8" w:space="0" w:color="BCD6EE"/>
            </w:tcBorders>
            <w:shd w:val="clear" w:color="auto" w:fill="auto"/>
            <w:vAlign w:val="center"/>
          </w:tcPr>
          <w:p w14:paraId="4505394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123</w:t>
            </w:r>
          </w:p>
        </w:tc>
        <w:tc>
          <w:tcPr>
            <w:tcW w:w="1087" w:type="dxa"/>
            <w:tcBorders>
              <w:top w:val="nil"/>
              <w:left w:val="nil"/>
              <w:bottom w:val="single" w:sz="8" w:space="0" w:color="BCD6EE"/>
              <w:right w:val="single" w:sz="8" w:space="0" w:color="BCD6EE"/>
            </w:tcBorders>
            <w:shd w:val="clear" w:color="auto" w:fill="auto"/>
            <w:vAlign w:val="center"/>
          </w:tcPr>
          <w:p w14:paraId="747452E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124</w:t>
            </w:r>
          </w:p>
        </w:tc>
        <w:tc>
          <w:tcPr>
            <w:tcW w:w="1087" w:type="dxa"/>
            <w:tcBorders>
              <w:top w:val="nil"/>
              <w:left w:val="nil"/>
              <w:bottom w:val="single" w:sz="8" w:space="0" w:color="BCD6EE"/>
              <w:right w:val="single" w:sz="8" w:space="0" w:color="BCD6EE"/>
            </w:tcBorders>
            <w:shd w:val="clear" w:color="auto" w:fill="auto"/>
            <w:vAlign w:val="center"/>
          </w:tcPr>
          <w:p w14:paraId="2D9C7102"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117</w:t>
            </w:r>
          </w:p>
        </w:tc>
        <w:tc>
          <w:tcPr>
            <w:tcW w:w="1087" w:type="dxa"/>
            <w:tcBorders>
              <w:top w:val="nil"/>
              <w:left w:val="nil"/>
              <w:bottom w:val="single" w:sz="8" w:space="0" w:color="BCD6EE"/>
              <w:right w:val="single" w:sz="8" w:space="0" w:color="BCD6EE"/>
            </w:tcBorders>
            <w:shd w:val="clear" w:color="auto" w:fill="auto"/>
            <w:vAlign w:val="center"/>
          </w:tcPr>
          <w:p w14:paraId="65A82986"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121</w:t>
            </w:r>
          </w:p>
        </w:tc>
        <w:tc>
          <w:tcPr>
            <w:tcW w:w="1087" w:type="dxa"/>
            <w:tcBorders>
              <w:top w:val="nil"/>
              <w:left w:val="nil"/>
              <w:bottom w:val="single" w:sz="8" w:space="0" w:color="BCD6EE"/>
              <w:right w:val="single" w:sz="8" w:space="0" w:color="BCD6EE"/>
            </w:tcBorders>
            <w:shd w:val="clear" w:color="auto" w:fill="auto"/>
            <w:vAlign w:val="center"/>
          </w:tcPr>
          <w:p w14:paraId="7F4DE4AC"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126</w:t>
            </w:r>
          </w:p>
        </w:tc>
      </w:tr>
      <w:tr w:rsidR="004C5A0C" w:rsidRPr="00322A89" w14:paraId="42DA2A69"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4D508A56"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M Stručne, naučne i tehničke djelatnosti</w:t>
            </w:r>
          </w:p>
        </w:tc>
        <w:tc>
          <w:tcPr>
            <w:tcW w:w="1086" w:type="dxa"/>
            <w:tcBorders>
              <w:top w:val="nil"/>
              <w:left w:val="nil"/>
              <w:bottom w:val="single" w:sz="8" w:space="0" w:color="BCD6EE"/>
              <w:right w:val="single" w:sz="8" w:space="0" w:color="BCD6EE"/>
            </w:tcBorders>
            <w:shd w:val="clear" w:color="auto" w:fill="auto"/>
            <w:vAlign w:val="center"/>
          </w:tcPr>
          <w:p w14:paraId="25D7E38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3.056</w:t>
            </w:r>
          </w:p>
        </w:tc>
        <w:tc>
          <w:tcPr>
            <w:tcW w:w="1087" w:type="dxa"/>
            <w:tcBorders>
              <w:top w:val="nil"/>
              <w:left w:val="nil"/>
              <w:bottom w:val="single" w:sz="8" w:space="0" w:color="BCD6EE"/>
              <w:right w:val="single" w:sz="8" w:space="0" w:color="BCD6EE"/>
            </w:tcBorders>
            <w:shd w:val="clear" w:color="auto" w:fill="auto"/>
            <w:vAlign w:val="center"/>
          </w:tcPr>
          <w:p w14:paraId="663F92A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3.156</w:t>
            </w:r>
          </w:p>
        </w:tc>
        <w:tc>
          <w:tcPr>
            <w:tcW w:w="1087" w:type="dxa"/>
            <w:tcBorders>
              <w:top w:val="nil"/>
              <w:left w:val="nil"/>
              <w:bottom w:val="single" w:sz="8" w:space="0" w:color="BCD6EE"/>
              <w:right w:val="single" w:sz="8" w:space="0" w:color="BCD6EE"/>
            </w:tcBorders>
            <w:shd w:val="clear" w:color="auto" w:fill="auto"/>
            <w:vAlign w:val="center"/>
          </w:tcPr>
          <w:p w14:paraId="2FEA9CEA"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3.307</w:t>
            </w:r>
          </w:p>
        </w:tc>
        <w:tc>
          <w:tcPr>
            <w:tcW w:w="1087" w:type="dxa"/>
            <w:tcBorders>
              <w:top w:val="nil"/>
              <w:left w:val="nil"/>
              <w:bottom w:val="single" w:sz="8" w:space="0" w:color="BCD6EE"/>
              <w:right w:val="single" w:sz="8" w:space="0" w:color="BCD6EE"/>
            </w:tcBorders>
            <w:shd w:val="clear" w:color="auto" w:fill="auto"/>
            <w:vAlign w:val="center"/>
          </w:tcPr>
          <w:p w14:paraId="56927AF9"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3.439</w:t>
            </w:r>
          </w:p>
        </w:tc>
        <w:tc>
          <w:tcPr>
            <w:tcW w:w="1087" w:type="dxa"/>
            <w:tcBorders>
              <w:top w:val="nil"/>
              <w:left w:val="nil"/>
              <w:bottom w:val="single" w:sz="8" w:space="0" w:color="BCD6EE"/>
              <w:right w:val="single" w:sz="8" w:space="0" w:color="BCD6EE"/>
            </w:tcBorders>
            <w:shd w:val="clear" w:color="auto" w:fill="auto"/>
            <w:vAlign w:val="center"/>
          </w:tcPr>
          <w:p w14:paraId="4C84849D"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3.548</w:t>
            </w:r>
          </w:p>
        </w:tc>
        <w:tc>
          <w:tcPr>
            <w:tcW w:w="1087" w:type="dxa"/>
            <w:tcBorders>
              <w:top w:val="nil"/>
              <w:left w:val="nil"/>
              <w:bottom w:val="single" w:sz="8" w:space="0" w:color="BCD6EE"/>
              <w:right w:val="single" w:sz="8" w:space="0" w:color="BCD6EE"/>
            </w:tcBorders>
            <w:shd w:val="clear" w:color="auto" w:fill="auto"/>
            <w:vAlign w:val="center"/>
          </w:tcPr>
          <w:p w14:paraId="12E052E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3.822</w:t>
            </w:r>
          </w:p>
        </w:tc>
      </w:tr>
      <w:tr w:rsidR="004C5A0C" w:rsidRPr="00322A89" w14:paraId="215A01B1" w14:textId="77777777" w:rsidTr="00744E87">
        <w:trPr>
          <w:trHeight w:val="465"/>
        </w:trPr>
        <w:tc>
          <w:tcPr>
            <w:tcW w:w="2992" w:type="dxa"/>
            <w:tcBorders>
              <w:top w:val="nil"/>
              <w:left w:val="single" w:sz="8" w:space="0" w:color="BCD6EE"/>
              <w:bottom w:val="single" w:sz="8" w:space="0" w:color="BCD6EE"/>
              <w:right w:val="single" w:sz="8" w:space="0" w:color="BCD6EE"/>
            </w:tcBorders>
            <w:shd w:val="clear" w:color="auto" w:fill="auto"/>
            <w:vAlign w:val="center"/>
          </w:tcPr>
          <w:p w14:paraId="4699CF97"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N Administrativne i pomoćne uslužne djelatnosti</w:t>
            </w:r>
          </w:p>
        </w:tc>
        <w:tc>
          <w:tcPr>
            <w:tcW w:w="1086" w:type="dxa"/>
            <w:tcBorders>
              <w:top w:val="nil"/>
              <w:left w:val="nil"/>
              <w:bottom w:val="single" w:sz="8" w:space="0" w:color="BCD6EE"/>
              <w:right w:val="single" w:sz="8" w:space="0" w:color="BCD6EE"/>
            </w:tcBorders>
            <w:shd w:val="clear" w:color="auto" w:fill="auto"/>
            <w:vAlign w:val="center"/>
          </w:tcPr>
          <w:p w14:paraId="15BDBEB5"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701</w:t>
            </w:r>
          </w:p>
        </w:tc>
        <w:tc>
          <w:tcPr>
            <w:tcW w:w="1087" w:type="dxa"/>
            <w:tcBorders>
              <w:top w:val="nil"/>
              <w:left w:val="nil"/>
              <w:bottom w:val="single" w:sz="8" w:space="0" w:color="BCD6EE"/>
              <w:right w:val="single" w:sz="8" w:space="0" w:color="BCD6EE"/>
            </w:tcBorders>
            <w:shd w:val="clear" w:color="auto" w:fill="auto"/>
            <w:vAlign w:val="center"/>
          </w:tcPr>
          <w:p w14:paraId="2B49D9F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697</w:t>
            </w:r>
          </w:p>
        </w:tc>
        <w:tc>
          <w:tcPr>
            <w:tcW w:w="1087" w:type="dxa"/>
            <w:tcBorders>
              <w:top w:val="nil"/>
              <w:left w:val="nil"/>
              <w:bottom w:val="single" w:sz="8" w:space="0" w:color="BCD6EE"/>
              <w:right w:val="single" w:sz="8" w:space="0" w:color="BCD6EE"/>
            </w:tcBorders>
            <w:shd w:val="clear" w:color="auto" w:fill="auto"/>
            <w:vAlign w:val="center"/>
          </w:tcPr>
          <w:p w14:paraId="4B3C3CD0"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755</w:t>
            </w:r>
          </w:p>
        </w:tc>
        <w:tc>
          <w:tcPr>
            <w:tcW w:w="1087" w:type="dxa"/>
            <w:tcBorders>
              <w:top w:val="nil"/>
              <w:left w:val="nil"/>
              <w:bottom w:val="single" w:sz="8" w:space="0" w:color="BCD6EE"/>
              <w:right w:val="single" w:sz="8" w:space="0" w:color="BCD6EE"/>
            </w:tcBorders>
            <w:shd w:val="clear" w:color="auto" w:fill="auto"/>
            <w:vAlign w:val="center"/>
          </w:tcPr>
          <w:p w14:paraId="60F5CE1A"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786</w:t>
            </w:r>
          </w:p>
        </w:tc>
        <w:tc>
          <w:tcPr>
            <w:tcW w:w="1087" w:type="dxa"/>
            <w:tcBorders>
              <w:top w:val="nil"/>
              <w:left w:val="nil"/>
              <w:bottom w:val="single" w:sz="8" w:space="0" w:color="BCD6EE"/>
              <w:right w:val="single" w:sz="8" w:space="0" w:color="BCD6EE"/>
            </w:tcBorders>
            <w:shd w:val="clear" w:color="auto" w:fill="auto"/>
            <w:vAlign w:val="center"/>
          </w:tcPr>
          <w:p w14:paraId="50F0B3C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791</w:t>
            </w:r>
          </w:p>
        </w:tc>
        <w:tc>
          <w:tcPr>
            <w:tcW w:w="1087" w:type="dxa"/>
            <w:tcBorders>
              <w:top w:val="nil"/>
              <w:left w:val="nil"/>
              <w:bottom w:val="single" w:sz="8" w:space="0" w:color="BCD6EE"/>
              <w:right w:val="single" w:sz="8" w:space="0" w:color="BCD6EE"/>
            </w:tcBorders>
            <w:shd w:val="clear" w:color="auto" w:fill="auto"/>
            <w:vAlign w:val="center"/>
          </w:tcPr>
          <w:p w14:paraId="3D2DCE8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779</w:t>
            </w:r>
          </w:p>
        </w:tc>
      </w:tr>
      <w:tr w:rsidR="004C5A0C" w:rsidRPr="00322A89" w14:paraId="0045BC2C" w14:textId="77777777" w:rsidTr="00744E87">
        <w:trPr>
          <w:trHeight w:val="465"/>
        </w:trPr>
        <w:tc>
          <w:tcPr>
            <w:tcW w:w="2992" w:type="dxa"/>
            <w:tcBorders>
              <w:top w:val="nil"/>
              <w:left w:val="single" w:sz="8" w:space="0" w:color="BCD6EE"/>
              <w:bottom w:val="single" w:sz="8" w:space="0" w:color="BCD6EE"/>
              <w:right w:val="single" w:sz="8" w:space="0" w:color="BCD6EE"/>
            </w:tcBorders>
            <w:shd w:val="clear" w:color="auto" w:fill="auto"/>
            <w:vAlign w:val="center"/>
          </w:tcPr>
          <w:p w14:paraId="14FFB08E"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O Javna uprava i odbrana; obavezno socijalno osigur</w:t>
            </w:r>
          </w:p>
        </w:tc>
        <w:tc>
          <w:tcPr>
            <w:tcW w:w="1086" w:type="dxa"/>
            <w:tcBorders>
              <w:top w:val="nil"/>
              <w:left w:val="nil"/>
              <w:bottom w:val="single" w:sz="8" w:space="0" w:color="BCD6EE"/>
              <w:right w:val="single" w:sz="8" w:space="0" w:color="BCD6EE"/>
            </w:tcBorders>
            <w:shd w:val="clear" w:color="auto" w:fill="auto"/>
            <w:vAlign w:val="center"/>
          </w:tcPr>
          <w:p w14:paraId="3024F57A"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14EA2483"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75876B3C"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6729DF1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4C609720"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309286A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r>
      <w:tr w:rsidR="004C5A0C" w:rsidRPr="00322A89" w14:paraId="0A153F49"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0E509A3C"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P Obrazovanje</w:t>
            </w:r>
          </w:p>
        </w:tc>
        <w:tc>
          <w:tcPr>
            <w:tcW w:w="1086" w:type="dxa"/>
            <w:tcBorders>
              <w:top w:val="nil"/>
              <w:left w:val="nil"/>
              <w:bottom w:val="single" w:sz="8" w:space="0" w:color="BCD6EE"/>
              <w:right w:val="single" w:sz="8" w:space="0" w:color="BCD6EE"/>
            </w:tcBorders>
            <w:shd w:val="clear" w:color="auto" w:fill="auto"/>
            <w:vAlign w:val="center"/>
          </w:tcPr>
          <w:p w14:paraId="4539B6C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408</w:t>
            </w:r>
          </w:p>
        </w:tc>
        <w:tc>
          <w:tcPr>
            <w:tcW w:w="1087" w:type="dxa"/>
            <w:tcBorders>
              <w:top w:val="nil"/>
              <w:left w:val="nil"/>
              <w:bottom w:val="single" w:sz="8" w:space="0" w:color="BCD6EE"/>
              <w:right w:val="single" w:sz="8" w:space="0" w:color="BCD6EE"/>
            </w:tcBorders>
            <w:shd w:val="clear" w:color="auto" w:fill="auto"/>
            <w:vAlign w:val="center"/>
          </w:tcPr>
          <w:p w14:paraId="5224F2D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391</w:t>
            </w:r>
          </w:p>
        </w:tc>
        <w:tc>
          <w:tcPr>
            <w:tcW w:w="1087" w:type="dxa"/>
            <w:tcBorders>
              <w:top w:val="nil"/>
              <w:left w:val="nil"/>
              <w:bottom w:val="single" w:sz="8" w:space="0" w:color="BCD6EE"/>
              <w:right w:val="single" w:sz="8" w:space="0" w:color="BCD6EE"/>
            </w:tcBorders>
            <w:shd w:val="clear" w:color="auto" w:fill="auto"/>
            <w:vAlign w:val="center"/>
          </w:tcPr>
          <w:p w14:paraId="6E8527A0"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427</w:t>
            </w:r>
          </w:p>
        </w:tc>
        <w:tc>
          <w:tcPr>
            <w:tcW w:w="1087" w:type="dxa"/>
            <w:tcBorders>
              <w:top w:val="nil"/>
              <w:left w:val="nil"/>
              <w:bottom w:val="single" w:sz="8" w:space="0" w:color="BCD6EE"/>
              <w:right w:val="single" w:sz="8" w:space="0" w:color="BCD6EE"/>
            </w:tcBorders>
            <w:shd w:val="clear" w:color="auto" w:fill="auto"/>
            <w:vAlign w:val="center"/>
          </w:tcPr>
          <w:p w14:paraId="054E193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442</w:t>
            </w:r>
          </w:p>
        </w:tc>
        <w:tc>
          <w:tcPr>
            <w:tcW w:w="1087" w:type="dxa"/>
            <w:tcBorders>
              <w:top w:val="nil"/>
              <w:left w:val="nil"/>
              <w:bottom w:val="single" w:sz="8" w:space="0" w:color="BCD6EE"/>
              <w:right w:val="single" w:sz="8" w:space="0" w:color="BCD6EE"/>
            </w:tcBorders>
            <w:shd w:val="clear" w:color="auto" w:fill="auto"/>
            <w:vAlign w:val="center"/>
          </w:tcPr>
          <w:p w14:paraId="20292E37"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446</w:t>
            </w:r>
          </w:p>
        </w:tc>
        <w:tc>
          <w:tcPr>
            <w:tcW w:w="1087" w:type="dxa"/>
            <w:tcBorders>
              <w:top w:val="nil"/>
              <w:left w:val="nil"/>
              <w:bottom w:val="single" w:sz="8" w:space="0" w:color="BCD6EE"/>
              <w:right w:val="single" w:sz="8" w:space="0" w:color="BCD6EE"/>
            </w:tcBorders>
            <w:shd w:val="clear" w:color="auto" w:fill="auto"/>
            <w:vAlign w:val="center"/>
          </w:tcPr>
          <w:p w14:paraId="66DEBD6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427</w:t>
            </w:r>
          </w:p>
        </w:tc>
      </w:tr>
      <w:tr w:rsidR="004C5A0C" w:rsidRPr="00322A89" w14:paraId="480D0378"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6C299AB3"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Q Djelatnosti zdravstvene i socijalne zaštite</w:t>
            </w:r>
          </w:p>
        </w:tc>
        <w:tc>
          <w:tcPr>
            <w:tcW w:w="1086" w:type="dxa"/>
            <w:tcBorders>
              <w:top w:val="nil"/>
              <w:left w:val="nil"/>
              <w:bottom w:val="single" w:sz="8" w:space="0" w:color="BCD6EE"/>
              <w:right w:val="single" w:sz="8" w:space="0" w:color="BCD6EE"/>
            </w:tcBorders>
            <w:shd w:val="clear" w:color="auto" w:fill="auto"/>
            <w:vAlign w:val="center"/>
          </w:tcPr>
          <w:p w14:paraId="1320B44D"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847</w:t>
            </w:r>
          </w:p>
        </w:tc>
        <w:tc>
          <w:tcPr>
            <w:tcW w:w="1087" w:type="dxa"/>
            <w:tcBorders>
              <w:top w:val="nil"/>
              <w:left w:val="nil"/>
              <w:bottom w:val="single" w:sz="8" w:space="0" w:color="BCD6EE"/>
              <w:right w:val="single" w:sz="8" w:space="0" w:color="BCD6EE"/>
            </w:tcBorders>
            <w:shd w:val="clear" w:color="auto" w:fill="auto"/>
            <w:vAlign w:val="center"/>
          </w:tcPr>
          <w:p w14:paraId="68B1976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859</w:t>
            </w:r>
          </w:p>
        </w:tc>
        <w:tc>
          <w:tcPr>
            <w:tcW w:w="1087" w:type="dxa"/>
            <w:tcBorders>
              <w:top w:val="nil"/>
              <w:left w:val="nil"/>
              <w:bottom w:val="single" w:sz="8" w:space="0" w:color="BCD6EE"/>
              <w:right w:val="single" w:sz="8" w:space="0" w:color="BCD6EE"/>
            </w:tcBorders>
            <w:shd w:val="clear" w:color="auto" w:fill="auto"/>
            <w:vAlign w:val="center"/>
          </w:tcPr>
          <w:p w14:paraId="000A5BC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881</w:t>
            </w:r>
          </w:p>
        </w:tc>
        <w:tc>
          <w:tcPr>
            <w:tcW w:w="1087" w:type="dxa"/>
            <w:tcBorders>
              <w:top w:val="nil"/>
              <w:left w:val="nil"/>
              <w:bottom w:val="single" w:sz="8" w:space="0" w:color="BCD6EE"/>
              <w:right w:val="single" w:sz="8" w:space="0" w:color="BCD6EE"/>
            </w:tcBorders>
            <w:shd w:val="clear" w:color="auto" w:fill="auto"/>
            <w:vAlign w:val="center"/>
          </w:tcPr>
          <w:p w14:paraId="286FC9D2"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911</w:t>
            </w:r>
          </w:p>
        </w:tc>
        <w:tc>
          <w:tcPr>
            <w:tcW w:w="1087" w:type="dxa"/>
            <w:tcBorders>
              <w:top w:val="nil"/>
              <w:left w:val="nil"/>
              <w:bottom w:val="single" w:sz="8" w:space="0" w:color="BCD6EE"/>
              <w:right w:val="single" w:sz="8" w:space="0" w:color="BCD6EE"/>
            </w:tcBorders>
            <w:shd w:val="clear" w:color="auto" w:fill="auto"/>
            <w:vAlign w:val="center"/>
          </w:tcPr>
          <w:p w14:paraId="639E3FAD"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919</w:t>
            </w:r>
          </w:p>
        </w:tc>
        <w:tc>
          <w:tcPr>
            <w:tcW w:w="1087" w:type="dxa"/>
            <w:tcBorders>
              <w:top w:val="nil"/>
              <w:left w:val="nil"/>
              <w:bottom w:val="single" w:sz="8" w:space="0" w:color="BCD6EE"/>
              <w:right w:val="single" w:sz="8" w:space="0" w:color="BCD6EE"/>
            </w:tcBorders>
            <w:shd w:val="clear" w:color="auto" w:fill="auto"/>
            <w:vAlign w:val="center"/>
          </w:tcPr>
          <w:p w14:paraId="48FDB4C7"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974</w:t>
            </w:r>
          </w:p>
        </w:tc>
      </w:tr>
      <w:tr w:rsidR="004C5A0C" w:rsidRPr="00322A89" w14:paraId="6F009D49"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364AEFE1"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lastRenderedPageBreak/>
              <w:t>R Umjetnost, zabava i rekreacija</w:t>
            </w:r>
          </w:p>
        </w:tc>
        <w:tc>
          <w:tcPr>
            <w:tcW w:w="1086" w:type="dxa"/>
            <w:tcBorders>
              <w:top w:val="nil"/>
              <w:left w:val="nil"/>
              <w:bottom w:val="single" w:sz="8" w:space="0" w:color="BCD6EE"/>
              <w:right w:val="single" w:sz="8" w:space="0" w:color="BCD6EE"/>
            </w:tcBorders>
            <w:shd w:val="clear" w:color="auto" w:fill="auto"/>
            <w:vAlign w:val="center"/>
          </w:tcPr>
          <w:p w14:paraId="73E16A0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370</w:t>
            </w:r>
          </w:p>
        </w:tc>
        <w:tc>
          <w:tcPr>
            <w:tcW w:w="1087" w:type="dxa"/>
            <w:tcBorders>
              <w:top w:val="nil"/>
              <w:left w:val="nil"/>
              <w:bottom w:val="single" w:sz="8" w:space="0" w:color="BCD6EE"/>
              <w:right w:val="single" w:sz="8" w:space="0" w:color="BCD6EE"/>
            </w:tcBorders>
            <w:shd w:val="clear" w:color="auto" w:fill="auto"/>
            <w:vAlign w:val="center"/>
          </w:tcPr>
          <w:p w14:paraId="29AE2A00"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362</w:t>
            </w:r>
          </w:p>
        </w:tc>
        <w:tc>
          <w:tcPr>
            <w:tcW w:w="1087" w:type="dxa"/>
            <w:tcBorders>
              <w:top w:val="nil"/>
              <w:left w:val="nil"/>
              <w:bottom w:val="single" w:sz="8" w:space="0" w:color="BCD6EE"/>
              <w:right w:val="single" w:sz="8" w:space="0" w:color="BCD6EE"/>
            </w:tcBorders>
            <w:shd w:val="clear" w:color="auto" w:fill="auto"/>
            <w:vAlign w:val="center"/>
          </w:tcPr>
          <w:p w14:paraId="198DFB2C"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396</w:t>
            </w:r>
          </w:p>
        </w:tc>
        <w:tc>
          <w:tcPr>
            <w:tcW w:w="1087" w:type="dxa"/>
            <w:tcBorders>
              <w:top w:val="nil"/>
              <w:left w:val="nil"/>
              <w:bottom w:val="single" w:sz="8" w:space="0" w:color="BCD6EE"/>
              <w:right w:val="single" w:sz="8" w:space="0" w:color="BCD6EE"/>
            </w:tcBorders>
            <w:shd w:val="clear" w:color="auto" w:fill="auto"/>
            <w:vAlign w:val="center"/>
          </w:tcPr>
          <w:p w14:paraId="76E99129"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411</w:t>
            </w:r>
          </w:p>
        </w:tc>
        <w:tc>
          <w:tcPr>
            <w:tcW w:w="1087" w:type="dxa"/>
            <w:tcBorders>
              <w:top w:val="nil"/>
              <w:left w:val="nil"/>
              <w:bottom w:val="single" w:sz="8" w:space="0" w:color="BCD6EE"/>
              <w:right w:val="single" w:sz="8" w:space="0" w:color="BCD6EE"/>
            </w:tcBorders>
            <w:shd w:val="clear" w:color="auto" w:fill="auto"/>
            <w:vAlign w:val="center"/>
          </w:tcPr>
          <w:p w14:paraId="7972CB5A"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413</w:t>
            </w:r>
          </w:p>
        </w:tc>
        <w:tc>
          <w:tcPr>
            <w:tcW w:w="1087" w:type="dxa"/>
            <w:tcBorders>
              <w:top w:val="nil"/>
              <w:left w:val="nil"/>
              <w:bottom w:val="single" w:sz="8" w:space="0" w:color="BCD6EE"/>
              <w:right w:val="single" w:sz="8" w:space="0" w:color="BCD6EE"/>
            </w:tcBorders>
            <w:shd w:val="clear" w:color="auto" w:fill="auto"/>
            <w:vAlign w:val="center"/>
          </w:tcPr>
          <w:p w14:paraId="43F0267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397</w:t>
            </w:r>
          </w:p>
        </w:tc>
      </w:tr>
      <w:tr w:rsidR="004C5A0C" w:rsidRPr="00322A89" w14:paraId="3C2C99F6" w14:textId="77777777" w:rsidTr="00744E87">
        <w:trPr>
          <w:trHeight w:val="3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059EF59B"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S Ostale uslužne djelatnosti</w:t>
            </w:r>
          </w:p>
        </w:tc>
        <w:tc>
          <w:tcPr>
            <w:tcW w:w="1086" w:type="dxa"/>
            <w:tcBorders>
              <w:top w:val="nil"/>
              <w:left w:val="nil"/>
              <w:bottom w:val="single" w:sz="8" w:space="0" w:color="BCD6EE"/>
              <w:right w:val="single" w:sz="8" w:space="0" w:color="BCD6EE"/>
            </w:tcBorders>
            <w:shd w:val="clear" w:color="auto" w:fill="auto"/>
            <w:vAlign w:val="center"/>
          </w:tcPr>
          <w:p w14:paraId="3E40E6F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3.955</w:t>
            </w:r>
          </w:p>
        </w:tc>
        <w:tc>
          <w:tcPr>
            <w:tcW w:w="1087" w:type="dxa"/>
            <w:tcBorders>
              <w:top w:val="nil"/>
              <w:left w:val="nil"/>
              <w:bottom w:val="single" w:sz="8" w:space="0" w:color="BCD6EE"/>
              <w:right w:val="single" w:sz="8" w:space="0" w:color="BCD6EE"/>
            </w:tcBorders>
            <w:shd w:val="clear" w:color="auto" w:fill="auto"/>
            <w:vAlign w:val="center"/>
          </w:tcPr>
          <w:p w14:paraId="5AEA7424"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3.952</w:t>
            </w:r>
          </w:p>
        </w:tc>
        <w:tc>
          <w:tcPr>
            <w:tcW w:w="1087" w:type="dxa"/>
            <w:tcBorders>
              <w:top w:val="nil"/>
              <w:left w:val="nil"/>
              <w:bottom w:val="single" w:sz="8" w:space="0" w:color="BCD6EE"/>
              <w:right w:val="single" w:sz="8" w:space="0" w:color="BCD6EE"/>
            </w:tcBorders>
            <w:shd w:val="clear" w:color="auto" w:fill="auto"/>
            <w:vAlign w:val="center"/>
          </w:tcPr>
          <w:p w14:paraId="6F76690F"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4.128</w:t>
            </w:r>
          </w:p>
        </w:tc>
        <w:tc>
          <w:tcPr>
            <w:tcW w:w="1087" w:type="dxa"/>
            <w:tcBorders>
              <w:top w:val="nil"/>
              <w:left w:val="nil"/>
              <w:bottom w:val="single" w:sz="8" w:space="0" w:color="BCD6EE"/>
              <w:right w:val="single" w:sz="8" w:space="0" w:color="BCD6EE"/>
            </w:tcBorders>
            <w:shd w:val="clear" w:color="auto" w:fill="auto"/>
            <w:vAlign w:val="center"/>
          </w:tcPr>
          <w:p w14:paraId="2CA9587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4.302</w:t>
            </w:r>
          </w:p>
        </w:tc>
        <w:tc>
          <w:tcPr>
            <w:tcW w:w="1087" w:type="dxa"/>
            <w:tcBorders>
              <w:top w:val="nil"/>
              <w:left w:val="nil"/>
              <w:bottom w:val="single" w:sz="8" w:space="0" w:color="BCD6EE"/>
              <w:right w:val="single" w:sz="8" w:space="0" w:color="BCD6EE"/>
            </w:tcBorders>
            <w:shd w:val="clear" w:color="auto" w:fill="auto"/>
            <w:vAlign w:val="center"/>
          </w:tcPr>
          <w:p w14:paraId="77B2A16B"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4.445</w:t>
            </w:r>
          </w:p>
        </w:tc>
        <w:tc>
          <w:tcPr>
            <w:tcW w:w="1087" w:type="dxa"/>
            <w:tcBorders>
              <w:top w:val="nil"/>
              <w:left w:val="nil"/>
              <w:bottom w:val="single" w:sz="8" w:space="0" w:color="BCD6EE"/>
              <w:right w:val="single" w:sz="8" w:space="0" w:color="BCD6EE"/>
            </w:tcBorders>
            <w:shd w:val="clear" w:color="auto" w:fill="auto"/>
            <w:vAlign w:val="center"/>
          </w:tcPr>
          <w:p w14:paraId="1AE772D2"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4.497</w:t>
            </w:r>
          </w:p>
        </w:tc>
      </w:tr>
      <w:tr w:rsidR="004C5A0C" w:rsidRPr="00322A89" w14:paraId="05E8995F" w14:textId="77777777" w:rsidTr="00744E87">
        <w:trPr>
          <w:trHeight w:val="915"/>
        </w:trPr>
        <w:tc>
          <w:tcPr>
            <w:tcW w:w="2992" w:type="dxa"/>
            <w:tcBorders>
              <w:top w:val="nil"/>
              <w:left w:val="single" w:sz="8" w:space="0" w:color="BCD6EE"/>
              <w:bottom w:val="single" w:sz="8" w:space="0" w:color="BCD6EE"/>
              <w:right w:val="single" w:sz="8" w:space="0" w:color="BCD6EE"/>
            </w:tcBorders>
            <w:shd w:val="clear" w:color="auto" w:fill="auto"/>
            <w:vAlign w:val="center"/>
          </w:tcPr>
          <w:p w14:paraId="161B4AA3"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T Djelatnosti domaćinstva kao poslodavca; djelatnosti domaćinstva koja proizvode različita dobra i obavljaju različite usluge za vlastite potrebe</w:t>
            </w:r>
          </w:p>
        </w:tc>
        <w:tc>
          <w:tcPr>
            <w:tcW w:w="1086" w:type="dxa"/>
            <w:tcBorders>
              <w:top w:val="nil"/>
              <w:left w:val="nil"/>
              <w:bottom w:val="single" w:sz="8" w:space="0" w:color="BCD6EE"/>
              <w:right w:val="single" w:sz="8" w:space="0" w:color="BCD6EE"/>
            </w:tcBorders>
            <w:shd w:val="clear" w:color="auto" w:fill="auto"/>
            <w:vAlign w:val="center"/>
          </w:tcPr>
          <w:p w14:paraId="300B01A5"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5</w:t>
            </w:r>
          </w:p>
        </w:tc>
        <w:tc>
          <w:tcPr>
            <w:tcW w:w="1087" w:type="dxa"/>
            <w:tcBorders>
              <w:top w:val="nil"/>
              <w:left w:val="nil"/>
              <w:bottom w:val="single" w:sz="8" w:space="0" w:color="BCD6EE"/>
              <w:right w:val="single" w:sz="8" w:space="0" w:color="BCD6EE"/>
            </w:tcBorders>
            <w:shd w:val="clear" w:color="auto" w:fill="auto"/>
            <w:vAlign w:val="center"/>
          </w:tcPr>
          <w:p w14:paraId="314AD3C9"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w:t>
            </w:r>
          </w:p>
        </w:tc>
        <w:tc>
          <w:tcPr>
            <w:tcW w:w="1087" w:type="dxa"/>
            <w:tcBorders>
              <w:top w:val="nil"/>
              <w:left w:val="nil"/>
              <w:bottom w:val="single" w:sz="8" w:space="0" w:color="BCD6EE"/>
              <w:right w:val="single" w:sz="8" w:space="0" w:color="BCD6EE"/>
            </w:tcBorders>
            <w:shd w:val="clear" w:color="auto" w:fill="auto"/>
            <w:vAlign w:val="center"/>
          </w:tcPr>
          <w:p w14:paraId="1EAB8C6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w:t>
            </w:r>
          </w:p>
        </w:tc>
        <w:tc>
          <w:tcPr>
            <w:tcW w:w="1087" w:type="dxa"/>
            <w:tcBorders>
              <w:top w:val="nil"/>
              <w:left w:val="nil"/>
              <w:bottom w:val="single" w:sz="8" w:space="0" w:color="BCD6EE"/>
              <w:right w:val="single" w:sz="8" w:space="0" w:color="BCD6EE"/>
            </w:tcBorders>
            <w:shd w:val="clear" w:color="auto" w:fill="auto"/>
            <w:vAlign w:val="center"/>
          </w:tcPr>
          <w:p w14:paraId="36352E3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w:t>
            </w:r>
          </w:p>
        </w:tc>
        <w:tc>
          <w:tcPr>
            <w:tcW w:w="1087" w:type="dxa"/>
            <w:tcBorders>
              <w:top w:val="nil"/>
              <w:left w:val="nil"/>
              <w:bottom w:val="single" w:sz="8" w:space="0" w:color="BCD6EE"/>
              <w:right w:val="single" w:sz="8" w:space="0" w:color="BCD6EE"/>
            </w:tcBorders>
            <w:shd w:val="clear" w:color="auto" w:fill="auto"/>
            <w:vAlign w:val="center"/>
          </w:tcPr>
          <w:p w14:paraId="313AF109"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w:t>
            </w:r>
          </w:p>
        </w:tc>
        <w:tc>
          <w:tcPr>
            <w:tcW w:w="1087" w:type="dxa"/>
            <w:tcBorders>
              <w:top w:val="nil"/>
              <w:left w:val="nil"/>
              <w:bottom w:val="single" w:sz="8" w:space="0" w:color="BCD6EE"/>
              <w:right w:val="single" w:sz="8" w:space="0" w:color="BCD6EE"/>
            </w:tcBorders>
            <w:shd w:val="clear" w:color="auto" w:fill="auto"/>
            <w:vAlign w:val="center"/>
          </w:tcPr>
          <w:p w14:paraId="3D3DC62E"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4</w:t>
            </w:r>
          </w:p>
        </w:tc>
      </w:tr>
      <w:tr w:rsidR="004C5A0C" w:rsidRPr="00322A89" w14:paraId="06A248A4" w14:textId="77777777" w:rsidTr="00744E87">
        <w:trPr>
          <w:trHeight w:val="465"/>
        </w:trPr>
        <w:tc>
          <w:tcPr>
            <w:tcW w:w="2992" w:type="dxa"/>
            <w:tcBorders>
              <w:top w:val="nil"/>
              <w:left w:val="single" w:sz="8" w:space="0" w:color="BCD6EE"/>
              <w:bottom w:val="single" w:sz="8" w:space="0" w:color="BCD6EE"/>
              <w:right w:val="single" w:sz="8" w:space="0" w:color="BCD6EE"/>
            </w:tcBorders>
            <w:shd w:val="clear" w:color="auto" w:fill="auto"/>
            <w:vAlign w:val="center"/>
          </w:tcPr>
          <w:p w14:paraId="47509000"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U Djelatnosti vanteritorijalnih organizacija i organa</w:t>
            </w:r>
          </w:p>
        </w:tc>
        <w:tc>
          <w:tcPr>
            <w:tcW w:w="1086" w:type="dxa"/>
            <w:tcBorders>
              <w:top w:val="nil"/>
              <w:left w:val="nil"/>
              <w:bottom w:val="single" w:sz="8" w:space="0" w:color="BCD6EE"/>
              <w:right w:val="single" w:sz="8" w:space="0" w:color="BCD6EE"/>
            </w:tcBorders>
            <w:shd w:val="clear" w:color="auto" w:fill="auto"/>
            <w:vAlign w:val="center"/>
          </w:tcPr>
          <w:p w14:paraId="78B13C91"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426D8E72"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7FFE8A58"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630E577D"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383F4AA0"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c>
          <w:tcPr>
            <w:tcW w:w="1087" w:type="dxa"/>
            <w:tcBorders>
              <w:top w:val="nil"/>
              <w:left w:val="nil"/>
              <w:bottom w:val="single" w:sz="8" w:space="0" w:color="BCD6EE"/>
              <w:right w:val="single" w:sz="8" w:space="0" w:color="BCD6EE"/>
            </w:tcBorders>
            <w:shd w:val="clear" w:color="auto" w:fill="auto"/>
            <w:vAlign w:val="center"/>
          </w:tcPr>
          <w:p w14:paraId="6F1EAB66" w14:textId="77777777" w:rsidR="004C5A0C" w:rsidRPr="00322A89" w:rsidRDefault="004C5A0C" w:rsidP="004C5A0C">
            <w:pPr>
              <w:spacing w:after="0" w:line="240" w:lineRule="auto"/>
              <w:jc w:val="right"/>
              <w:rPr>
                <w:rFonts w:asciiTheme="majorHAnsi" w:hAnsiTheme="majorHAnsi" w:cstheme="majorHAnsi"/>
                <w:color w:val="000000"/>
                <w:sz w:val="20"/>
                <w:szCs w:val="20"/>
              </w:rPr>
            </w:pPr>
            <w:r w:rsidRPr="00322A89">
              <w:rPr>
                <w:rFonts w:asciiTheme="majorHAnsi" w:hAnsiTheme="majorHAnsi" w:cstheme="majorHAnsi"/>
                <w:color w:val="000000"/>
                <w:sz w:val="20"/>
                <w:szCs w:val="20"/>
              </w:rPr>
              <w:t>0</w:t>
            </w:r>
          </w:p>
        </w:tc>
      </w:tr>
      <w:tr w:rsidR="004C5A0C" w:rsidRPr="00322A89" w14:paraId="0104E440" w14:textId="77777777" w:rsidTr="00322A89">
        <w:trPr>
          <w:trHeight w:val="315"/>
        </w:trPr>
        <w:tc>
          <w:tcPr>
            <w:tcW w:w="2992" w:type="dxa"/>
            <w:tcBorders>
              <w:top w:val="nil"/>
              <w:left w:val="single" w:sz="8" w:space="0" w:color="BCD6EE"/>
              <w:bottom w:val="single" w:sz="8" w:space="0" w:color="BCD6EE"/>
              <w:right w:val="single" w:sz="8" w:space="0" w:color="BCD6EE"/>
            </w:tcBorders>
            <w:shd w:val="clear" w:color="auto" w:fill="BCD9DE" w:themeFill="accent5" w:themeFillTint="66"/>
            <w:vAlign w:val="center"/>
          </w:tcPr>
          <w:p w14:paraId="1AC9744D" w14:textId="77777777" w:rsidR="004C5A0C" w:rsidRPr="00322A89" w:rsidRDefault="004C5A0C" w:rsidP="004C5A0C">
            <w:pPr>
              <w:spacing w:after="0" w:line="240" w:lineRule="auto"/>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Federacija BiH</w:t>
            </w:r>
          </w:p>
        </w:tc>
        <w:tc>
          <w:tcPr>
            <w:tcW w:w="1086" w:type="dxa"/>
            <w:tcBorders>
              <w:top w:val="nil"/>
              <w:left w:val="nil"/>
              <w:bottom w:val="single" w:sz="8" w:space="0" w:color="BCD6EE"/>
              <w:right w:val="single" w:sz="8" w:space="0" w:color="BCD6EE"/>
            </w:tcBorders>
            <w:shd w:val="clear" w:color="auto" w:fill="BCD9DE" w:themeFill="accent5" w:themeFillTint="66"/>
            <w:vAlign w:val="center"/>
          </w:tcPr>
          <w:p w14:paraId="3D7F74B5" w14:textId="77777777" w:rsidR="004C5A0C" w:rsidRPr="00322A89" w:rsidRDefault="004C5A0C" w:rsidP="004C5A0C">
            <w:pPr>
              <w:spacing w:after="0" w:line="240" w:lineRule="auto"/>
              <w:jc w:val="right"/>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49.596</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5DAD0936" w14:textId="77777777" w:rsidR="004C5A0C" w:rsidRPr="00322A89" w:rsidRDefault="004C5A0C" w:rsidP="004C5A0C">
            <w:pPr>
              <w:spacing w:after="0" w:line="240" w:lineRule="auto"/>
              <w:jc w:val="right"/>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4.818</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52474511" w14:textId="77777777" w:rsidR="004C5A0C" w:rsidRPr="00322A89" w:rsidRDefault="004C5A0C" w:rsidP="004C5A0C">
            <w:pPr>
              <w:spacing w:after="0" w:line="240" w:lineRule="auto"/>
              <w:jc w:val="right"/>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51.337</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13317EF6" w14:textId="77777777" w:rsidR="004C5A0C" w:rsidRPr="00322A89" w:rsidRDefault="004C5A0C" w:rsidP="004C5A0C">
            <w:pPr>
              <w:spacing w:after="0" w:line="240" w:lineRule="auto"/>
              <w:jc w:val="right"/>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52.161</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6CE0586A" w14:textId="77777777" w:rsidR="004C5A0C" w:rsidRPr="00322A89" w:rsidRDefault="004C5A0C" w:rsidP="004C5A0C">
            <w:pPr>
              <w:spacing w:after="0" w:line="240" w:lineRule="auto"/>
              <w:jc w:val="right"/>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52.687</w:t>
            </w:r>
          </w:p>
        </w:tc>
        <w:tc>
          <w:tcPr>
            <w:tcW w:w="1087" w:type="dxa"/>
            <w:tcBorders>
              <w:top w:val="nil"/>
              <w:left w:val="nil"/>
              <w:bottom w:val="single" w:sz="8" w:space="0" w:color="BCD6EE"/>
              <w:right w:val="single" w:sz="8" w:space="0" w:color="BCD6EE"/>
            </w:tcBorders>
            <w:shd w:val="clear" w:color="auto" w:fill="BCD9DE" w:themeFill="accent5" w:themeFillTint="66"/>
            <w:vAlign w:val="center"/>
          </w:tcPr>
          <w:p w14:paraId="75ACCB6C" w14:textId="77777777" w:rsidR="004C5A0C" w:rsidRPr="00322A89" w:rsidRDefault="004C5A0C" w:rsidP="004C5A0C">
            <w:pPr>
              <w:spacing w:after="0" w:line="240" w:lineRule="auto"/>
              <w:jc w:val="right"/>
              <w:rPr>
                <w:rFonts w:asciiTheme="majorHAnsi" w:hAnsiTheme="majorHAnsi" w:cstheme="majorHAnsi"/>
                <w:b/>
                <w:color w:val="000000"/>
                <w:sz w:val="20"/>
                <w:szCs w:val="20"/>
              </w:rPr>
            </w:pPr>
            <w:r w:rsidRPr="00322A89">
              <w:rPr>
                <w:rFonts w:asciiTheme="majorHAnsi" w:hAnsiTheme="majorHAnsi" w:cstheme="majorHAnsi"/>
                <w:b/>
                <w:color w:val="000000"/>
                <w:sz w:val="20"/>
                <w:szCs w:val="20"/>
              </w:rPr>
              <w:t>53.188</w:t>
            </w:r>
          </w:p>
        </w:tc>
      </w:tr>
    </w:tbl>
    <w:p w14:paraId="33B52206" w14:textId="30069362" w:rsidR="004C5A0C" w:rsidRPr="00ED7B99" w:rsidRDefault="004C5A0C" w:rsidP="004C5A0C">
      <w:pPr>
        <w:rPr>
          <w:rFonts w:asciiTheme="majorHAnsi" w:hAnsiTheme="majorHAnsi" w:cstheme="majorHAnsi"/>
          <w:i/>
          <w:color w:val="000000"/>
          <w:sz w:val="18"/>
          <w:szCs w:val="18"/>
        </w:rPr>
      </w:pPr>
      <w:r w:rsidRPr="00ED7B99">
        <w:rPr>
          <w:rFonts w:asciiTheme="majorHAnsi" w:hAnsiTheme="majorHAnsi" w:cstheme="majorHAnsi"/>
          <w:i/>
          <w:color w:val="000000"/>
          <w:sz w:val="18"/>
          <w:szCs w:val="18"/>
        </w:rPr>
        <w:t xml:space="preserve">  Izvor: Federalni zavod za statistiku</w:t>
      </w:r>
    </w:p>
    <w:p w14:paraId="46E7118E" w14:textId="44E145BE" w:rsidR="004C5A0C" w:rsidRPr="00ED7B99" w:rsidRDefault="004C5A0C" w:rsidP="004C5A0C">
      <w:pPr>
        <w:jc w:val="both"/>
        <w:rPr>
          <w:rFonts w:asciiTheme="majorHAnsi" w:hAnsiTheme="majorHAnsi" w:cstheme="majorHAnsi"/>
        </w:rPr>
      </w:pPr>
      <w:r w:rsidRPr="00ED7B99">
        <w:rPr>
          <w:rFonts w:asciiTheme="majorHAnsi" w:hAnsiTheme="majorHAnsi" w:cstheme="majorHAnsi"/>
        </w:rPr>
        <w:t>Po brojnosti obrta u Federaciji BiH u 2021. godini slijede Hotelijerstvo i ugostiteljstvo u kojem je osnovano i radi 9.774 obrta, i koji od 2017. godine bilježi kontinuiran rast što je ohrabrjuća činjenica imajući u vidu COVID 19 pandemiju u 2020. godini koja je negativne efekte posebno ostavila na subjekte u navedenoj djelatnosti.  Kao i u slučau privrednih društava, tako i među obrtnicima prerađivačka industrija je jedna od najčešćih djelatnosti u kojoj se ovi subjekti male privrede osnivaju poslovanje. I u ovoj djelatnosti bilježi se kontinuiran rast broja obrta i srodnih djelatnosti od 2017. godine, te je u 2021. godini zabiljež</w:t>
      </w:r>
      <w:r w:rsidR="00322A89">
        <w:rPr>
          <w:rFonts w:asciiTheme="majorHAnsi" w:hAnsiTheme="majorHAnsi" w:cstheme="majorHAnsi"/>
        </w:rPr>
        <w:t>e</w:t>
      </w:r>
      <w:r w:rsidRPr="00ED7B99">
        <w:rPr>
          <w:rFonts w:asciiTheme="majorHAnsi" w:hAnsiTheme="majorHAnsi" w:cstheme="majorHAnsi"/>
        </w:rPr>
        <w:t xml:space="preserve">n rad 7.008 obrtnika odnosno 13,7% od ukupnog broja obrta FBiH. </w:t>
      </w:r>
    </w:p>
    <w:p w14:paraId="2CC08D27" w14:textId="77777777" w:rsidR="00E440CE" w:rsidRPr="00ED7B99" w:rsidRDefault="00E440CE">
      <w:pPr>
        <w:pStyle w:val="Heading2"/>
        <w:spacing w:line="240" w:lineRule="auto"/>
        <w:jc w:val="both"/>
        <w:rPr>
          <w:rFonts w:asciiTheme="majorHAnsi" w:eastAsia="Calibri" w:hAnsiTheme="majorHAnsi" w:cstheme="majorHAnsi"/>
        </w:rPr>
      </w:pPr>
    </w:p>
    <w:p w14:paraId="71F3CC5C" w14:textId="483761C6" w:rsidR="00E440CE" w:rsidRPr="00ED7B99" w:rsidRDefault="003422A9" w:rsidP="00936783">
      <w:pPr>
        <w:pStyle w:val="Heading2"/>
        <w:numPr>
          <w:ilvl w:val="1"/>
          <w:numId w:val="13"/>
        </w:numPr>
        <w:rPr>
          <w:rFonts w:asciiTheme="majorHAnsi" w:eastAsia="Calibri" w:hAnsiTheme="majorHAnsi" w:cstheme="majorHAnsi"/>
        </w:rPr>
      </w:pPr>
      <w:bookmarkStart w:id="10" w:name="_Toc117458915"/>
      <w:r w:rsidRPr="00ED7B99">
        <w:rPr>
          <w:rFonts w:asciiTheme="majorHAnsi" w:eastAsia="Calibri" w:hAnsiTheme="majorHAnsi" w:cstheme="majorHAnsi"/>
        </w:rPr>
        <w:t>Kvalitativna analiza poslovanja malih i srednjih preduzeća</w:t>
      </w:r>
      <w:bookmarkEnd w:id="10"/>
    </w:p>
    <w:p w14:paraId="30F3D24B" w14:textId="77777777" w:rsidR="00E440CE" w:rsidRPr="00ED7B99" w:rsidRDefault="00E440CE">
      <w:pPr>
        <w:pBdr>
          <w:top w:val="nil"/>
          <w:left w:val="nil"/>
          <w:bottom w:val="nil"/>
          <w:right w:val="nil"/>
          <w:between w:val="nil"/>
        </w:pBdr>
        <w:spacing w:after="120" w:line="240" w:lineRule="auto"/>
        <w:ind w:left="720"/>
        <w:jc w:val="both"/>
        <w:rPr>
          <w:rFonts w:asciiTheme="majorHAnsi" w:hAnsiTheme="majorHAnsi" w:cstheme="majorHAnsi"/>
          <w:color w:val="000000"/>
          <w:sz w:val="20"/>
          <w:szCs w:val="20"/>
        </w:rPr>
      </w:pPr>
    </w:p>
    <w:p w14:paraId="14D75E3E" w14:textId="77777777" w:rsidR="00E440CE" w:rsidRPr="00ED7B99" w:rsidRDefault="003422A9" w:rsidP="00936783">
      <w:pPr>
        <w:pStyle w:val="Heading3"/>
        <w:numPr>
          <w:ilvl w:val="2"/>
          <w:numId w:val="13"/>
        </w:numPr>
        <w:spacing w:line="240" w:lineRule="auto"/>
        <w:jc w:val="both"/>
        <w:rPr>
          <w:rFonts w:asciiTheme="majorHAnsi" w:eastAsia="Calibri" w:hAnsiTheme="majorHAnsi" w:cstheme="majorHAnsi"/>
        </w:rPr>
      </w:pPr>
      <w:bookmarkStart w:id="11" w:name="_Toc117458916"/>
      <w:r w:rsidRPr="00ED7B99">
        <w:rPr>
          <w:rFonts w:asciiTheme="majorHAnsi" w:eastAsia="Calibri" w:hAnsiTheme="majorHAnsi" w:cstheme="majorHAnsi"/>
        </w:rPr>
        <w:t>Zakonski i regulatorni okvir</w:t>
      </w:r>
      <w:bookmarkEnd w:id="11"/>
    </w:p>
    <w:p w14:paraId="25471F95" w14:textId="77777777" w:rsidR="00E440CE" w:rsidRPr="00ED7B99" w:rsidRDefault="00E440CE">
      <w:pPr>
        <w:widowControl w:val="0"/>
        <w:tabs>
          <w:tab w:val="left" w:pos="-3261"/>
        </w:tabs>
        <w:spacing w:before="4" w:after="0"/>
        <w:ind w:right="-20"/>
        <w:jc w:val="both"/>
        <w:rPr>
          <w:rFonts w:asciiTheme="majorHAnsi" w:hAnsiTheme="majorHAnsi" w:cstheme="majorHAnsi"/>
        </w:rPr>
      </w:pPr>
    </w:p>
    <w:p w14:paraId="34934D4E" w14:textId="77777777" w:rsidR="00E440CE" w:rsidRPr="00ED7B99" w:rsidRDefault="003422A9">
      <w:pPr>
        <w:widowControl w:val="0"/>
        <w:tabs>
          <w:tab w:val="left" w:pos="-3261"/>
        </w:tabs>
        <w:spacing w:before="4" w:after="0" w:line="276" w:lineRule="auto"/>
        <w:ind w:right="-20"/>
        <w:jc w:val="both"/>
        <w:rPr>
          <w:rFonts w:asciiTheme="majorHAnsi" w:hAnsiTheme="majorHAnsi" w:cstheme="majorHAnsi"/>
          <w:color w:val="1F1A17"/>
        </w:rPr>
      </w:pPr>
      <w:r w:rsidRPr="00ED7B99">
        <w:rPr>
          <w:rFonts w:asciiTheme="majorHAnsi" w:hAnsiTheme="majorHAnsi" w:cstheme="majorHAnsi"/>
        </w:rPr>
        <w:t xml:space="preserve">Oblast male privrede na području Federacije BiH reguliše niz zakonskih i podzakonskih akata. Svakako, jedan od najznačajnijih jeste </w:t>
      </w:r>
      <w:r w:rsidRPr="00ED7B99">
        <w:rPr>
          <w:rFonts w:asciiTheme="majorHAnsi" w:hAnsiTheme="majorHAnsi" w:cstheme="majorHAnsi"/>
          <w:i/>
          <w:u w:val="single"/>
        </w:rPr>
        <w:t xml:space="preserve">Zakon o o poticanju razvoja male privrede Federacije BiH („Službene novine Federacije BiH“ br. 19/06 i 25/09) </w:t>
      </w:r>
      <w:r w:rsidRPr="00ED7B99">
        <w:rPr>
          <w:rFonts w:asciiTheme="majorHAnsi" w:hAnsiTheme="majorHAnsi" w:cstheme="majorHAnsi"/>
        </w:rPr>
        <w:t xml:space="preserve">koji određuje </w:t>
      </w:r>
      <w:r w:rsidRPr="00ED7B99">
        <w:rPr>
          <w:rFonts w:asciiTheme="majorHAnsi" w:hAnsiTheme="majorHAnsi" w:cstheme="majorHAnsi"/>
          <w:color w:val="1F1A17"/>
        </w:rPr>
        <w:t>planiranje, osiguranje sredstava i provođenje mjera razvoja male privrede u Federaciji Bosne i Hercegovine te aktivnosti i mjere Vlade Federacije Bosne i Hercegovine u poticanju razvoja male privrede. Pored utvrđivanja subjekata male privrede, kako je ranije opisano,</w:t>
      </w:r>
      <w:r w:rsidRPr="00ED7B99">
        <w:rPr>
          <w:rFonts w:asciiTheme="majorHAnsi" w:hAnsiTheme="majorHAnsi" w:cstheme="majorHAnsi"/>
        </w:rPr>
        <w:t xml:space="preserve"> Zakonom je, između ostalog, propisano da Program razvoja male privrede za Federaciju, na prijedlog Federalnog ministarstva razvoja, poduzetništva i obrta, donosi Vlada Federacije te da visina finansijskih sredstava iznosi do 2% vrijednosti godišnjeg </w:t>
      </w:r>
      <w:r w:rsidRPr="00ED7B99">
        <w:rPr>
          <w:rFonts w:asciiTheme="majorHAnsi" w:hAnsiTheme="majorHAnsi" w:cstheme="majorHAnsi"/>
          <w:color w:val="1F1A17"/>
        </w:rPr>
        <w:t xml:space="preserve">Budžeta Federacije i proporcionalna je vrijednosti eventualnog rebalansa Budžeta. </w:t>
      </w:r>
      <w:r w:rsidRPr="00ED7B99">
        <w:rPr>
          <w:rFonts w:asciiTheme="majorHAnsi" w:hAnsiTheme="majorHAnsi" w:cstheme="majorHAnsi"/>
          <w:i/>
          <w:color w:val="1F1A17"/>
          <w:u w:val="single"/>
        </w:rPr>
        <w:t>Pravilnikom o postupcima o provođenju programa razvoja male privrede</w:t>
      </w:r>
      <w:r w:rsidRPr="00ED7B99">
        <w:rPr>
          <w:rFonts w:asciiTheme="majorHAnsi" w:hAnsiTheme="majorHAnsi" w:cstheme="majorHAnsi"/>
          <w:color w:val="1F1A17"/>
        </w:rPr>
        <w:t xml:space="preserve"> (“Službene novine Federacije BiH” br. 50/13 i 86/13) uređeni su se uređuju postupci u provođenju Programa razvoja male privrede, metodologija rada, kojom se osigurava javnost rada; kriteriji za izbor učesnika u provođenju Programa razvoja; kriteriji za izbor korisnika sredstava i razvojnih projekata kojima se jača konkurentna sposobnost subjekata male privrede; obaveza definisanja i uređenja odnosa odgovarajućim pravnim aktom između nosioca programiranja razvoja i ostalih učesnika u provođenju programa razvoja; pouka o pravnom lijeku za stranke koje smatraju da su aktivnostima u provođenju programa razvoja njihova prava oštećena ili ugrožena i način izvještavanja i praćenja provođenja Programa razvoja, usklađen sa procedurom praćenja realizacije Programa rada Vlade Federacije.</w:t>
      </w:r>
    </w:p>
    <w:p w14:paraId="12096954" w14:textId="77777777" w:rsidR="00E440CE" w:rsidRPr="00ED7B99" w:rsidRDefault="00E440CE">
      <w:pPr>
        <w:widowControl w:val="0"/>
        <w:tabs>
          <w:tab w:val="left" w:pos="-3261"/>
        </w:tabs>
        <w:spacing w:before="4" w:after="0" w:line="276" w:lineRule="auto"/>
        <w:ind w:right="-20"/>
        <w:jc w:val="both"/>
        <w:rPr>
          <w:rFonts w:asciiTheme="majorHAnsi" w:hAnsiTheme="majorHAnsi" w:cstheme="majorHAnsi"/>
          <w:i/>
        </w:rPr>
      </w:pPr>
    </w:p>
    <w:p w14:paraId="0E1A73A4" w14:textId="77777777" w:rsidR="00E440CE" w:rsidRPr="00ED7B99" w:rsidRDefault="003422A9">
      <w:pPr>
        <w:spacing w:line="276" w:lineRule="auto"/>
        <w:jc w:val="both"/>
        <w:rPr>
          <w:rFonts w:asciiTheme="majorHAnsi" w:hAnsiTheme="majorHAnsi" w:cstheme="majorHAnsi"/>
          <w:color w:val="FF0000"/>
        </w:rPr>
      </w:pPr>
      <w:r w:rsidRPr="00ED7B99">
        <w:rPr>
          <w:rFonts w:asciiTheme="majorHAnsi" w:hAnsiTheme="majorHAnsi" w:cstheme="majorHAnsi"/>
          <w:color w:val="1F1A17"/>
        </w:rPr>
        <w:t>Godine 2019. godine pripremljen je nacrt novog Zakona o poticanju razvoja male privrede nastao, zbog eliminiacije  utvrđenih manjkavosti Zakona, a kako bi se kroz odredbe novog Zakona doprinijelo povoljnijem okruženje za</w:t>
      </w:r>
      <w:r w:rsidRPr="00ED7B99">
        <w:rPr>
          <w:rFonts w:asciiTheme="majorHAnsi" w:hAnsiTheme="majorHAnsi" w:cstheme="majorHAnsi"/>
        </w:rPr>
        <w:t xml:space="preserve"> malu privredu kroz unapređenje regulatornog i institucionalnog okvira. U obrazloženju nacrta Zakona navedeno je da trenutno nepostojanje odgovarajućih zakonskih rješenja za posljedicu ima umanjenje potencijala za privlačenje sredstava iz EU fondova i drugih donatorskih fondova, a što u konačnici direktno utiče na nisku stopu rasta subjekata male privrede i nisku stopu otvaranja novih produktivnih radnih mjesta. Nacrt Zakona predviđa uslove i način donošenja strategije razvoja male privrede, donošenje akcionog plana, program poticaja i način njegovog provođenja, te osnivanje Vijeća za poticanje razvoja male privrede kao savjetodavnog tijela koje ima zadatak da promoviše značaj i principe poticanja razvoja male privrede i podstiče njihovu realizaciju, analizira rezultate poticajne politike, te podstiče aktivnosti na unapređivanju saradnje između privatnog i javnog sektora u oblasti male privrede. Jedna od najznačajnijih odredbi jeste i odredba Člana 15. stav (2) koja propisuje da je visina finansijskih sredstava za provođenje Programa poticaja razvoja male privrede u FBiH za svaku kalendarsku godini iznosi minimalno 1 % (jedan procenat) vrijednosti ukupnog Budžeta Federacije Bosne i Hercegovine umanjenog za izdatke za otplate dugova za prethodnu godinu, što bi u konačnici za svaku godinu osiguralno značajan iznos sredstava za podršku razvoja maloj privredi. Nacrta Zakona je prošao proceduru javne rasprave u skladu sa zaključcima Doma naroda Parlamenta Federacije BiH. Nakon analiza pristiglih primjedbi i sugestija </w:t>
      </w:r>
      <w:r w:rsidR="009972A2" w:rsidRPr="00ED7B99">
        <w:rPr>
          <w:rFonts w:asciiTheme="majorHAnsi" w:hAnsiTheme="majorHAnsi" w:cstheme="majorHAnsi"/>
        </w:rPr>
        <w:t>prijedlog</w:t>
      </w:r>
      <w:r w:rsidRPr="00ED7B99">
        <w:rPr>
          <w:rFonts w:asciiTheme="majorHAnsi" w:hAnsiTheme="majorHAnsi" w:cstheme="majorHAnsi"/>
        </w:rPr>
        <w:t xml:space="preserve"> zakona je upućen na mišljenje nadležnih institucija</w:t>
      </w:r>
      <w:r w:rsidR="009972A2" w:rsidRPr="00ED7B99">
        <w:rPr>
          <w:rFonts w:asciiTheme="majorHAnsi" w:hAnsiTheme="majorHAnsi" w:cstheme="majorHAnsi"/>
        </w:rPr>
        <w:t>, čija mišljenja se očekuju prije upućivanja Vladi FBiH na razmatranje.</w:t>
      </w:r>
    </w:p>
    <w:p w14:paraId="27D30FEE" w14:textId="77777777" w:rsidR="00E440CE" w:rsidRPr="00ED7B99" w:rsidRDefault="003422A9">
      <w:pPr>
        <w:pBdr>
          <w:top w:val="nil"/>
          <w:left w:val="nil"/>
          <w:bottom w:val="nil"/>
          <w:right w:val="nil"/>
          <w:between w:val="nil"/>
        </w:pBdr>
        <w:shd w:val="clear" w:color="auto" w:fill="FFFFFF"/>
        <w:spacing w:after="0" w:line="276" w:lineRule="auto"/>
        <w:jc w:val="both"/>
        <w:rPr>
          <w:rFonts w:asciiTheme="majorHAnsi" w:hAnsiTheme="majorHAnsi" w:cstheme="majorHAnsi"/>
          <w:color w:val="000000"/>
        </w:rPr>
      </w:pPr>
      <w:r w:rsidRPr="00ED7B99">
        <w:rPr>
          <w:rFonts w:asciiTheme="majorHAnsi" w:hAnsiTheme="majorHAnsi" w:cstheme="majorHAnsi"/>
          <w:i/>
          <w:color w:val="000000"/>
          <w:u w:val="single"/>
        </w:rPr>
        <w:t>Zakon o privrednim društvima</w:t>
      </w:r>
      <w:r w:rsidRPr="00ED7B99">
        <w:rPr>
          <w:rFonts w:asciiTheme="majorHAnsi" w:hAnsiTheme="majorHAnsi" w:cstheme="majorHAnsi"/>
          <w:color w:val="000000"/>
        </w:rPr>
        <w:t xml:space="preserve"> („Službene novine Federacije BiH“ br: 81/15 i 75/11) uređuje osnivanje, poslovanje, upravljanje i prestanak privrednih društava, pri čemu društvo u Federaciji BiH može biti organizovano kao a) društvo sa neograničenom solidarnom odgovornošću b) komanditno društvo, c) dioničko društvo i d) društvo sa ograničenom odgovornošću</w:t>
      </w:r>
      <w:r w:rsidRPr="005827F5">
        <w:rPr>
          <w:rFonts w:asciiTheme="majorHAnsi" w:hAnsiTheme="majorHAnsi" w:cstheme="majorHAnsi"/>
          <w:color w:val="000000"/>
        </w:rPr>
        <w:t>. Donošenjem novog Zakona o privrednim društvima FBiH 2015. godine željelo se doprinijeti okruženju za poslovanje privrednih društava, te je, između ostalog, smanjen minimalni iznos osnovnog kapitala prilikom osnivanja privrednog društva sa 2.000 KM na 1.000 KM. Razlog za donošenje izmjena i dopuna Zakona iz 2021. bio je pojednostavljenje i ubrzanje postupka upisa poslovnih subjekata u Registar društava  kao i omogućavanje podnošenje zahtjeva za registraciju elektronskim putem kreiranjem jednošalterskog sistema.</w:t>
      </w:r>
      <w:r w:rsidRPr="00ED7B99">
        <w:rPr>
          <w:rFonts w:asciiTheme="majorHAnsi" w:hAnsiTheme="majorHAnsi" w:cstheme="majorHAnsi"/>
          <w:color w:val="000000"/>
        </w:rPr>
        <w:t xml:space="preserve"> </w:t>
      </w:r>
    </w:p>
    <w:p w14:paraId="6716DD86" w14:textId="77777777" w:rsidR="00E440CE" w:rsidRPr="00ED7B99" w:rsidRDefault="00E440CE">
      <w:pPr>
        <w:spacing w:after="0" w:line="276" w:lineRule="auto"/>
        <w:jc w:val="both"/>
        <w:rPr>
          <w:rFonts w:asciiTheme="majorHAnsi" w:hAnsiTheme="majorHAnsi" w:cstheme="majorHAnsi"/>
        </w:rPr>
      </w:pPr>
    </w:p>
    <w:p w14:paraId="733D4321" w14:textId="77777777" w:rsidR="00E440CE" w:rsidRPr="00ED7B99" w:rsidRDefault="003422A9">
      <w:pPr>
        <w:spacing w:line="276" w:lineRule="auto"/>
        <w:jc w:val="both"/>
        <w:rPr>
          <w:rFonts w:asciiTheme="majorHAnsi" w:hAnsiTheme="majorHAnsi" w:cstheme="majorHAnsi"/>
        </w:rPr>
      </w:pPr>
      <w:r w:rsidRPr="00ED7B99">
        <w:rPr>
          <w:rFonts w:asciiTheme="majorHAnsi" w:hAnsiTheme="majorHAnsi" w:cstheme="majorHAnsi"/>
        </w:rPr>
        <w:t xml:space="preserve">Sadržaj, način i uslovi za obavljanje obrtničke djelatnosti, srodnih djelatnosti i domaće radinosti, osnivanje, poslovanje, zajedničko obavljanje i prestanak obavljanja obrta, srodnih djelatnosti i domaće radinosti, obrtni registar, obrazovanje i osposobljavanje za obavljanje obrta i srodnih djelatnosti, organiziranje obrtnika i lica koja obavljaju srodne djelatnosti propisani su </w:t>
      </w:r>
      <w:r w:rsidRPr="00ED7B99">
        <w:rPr>
          <w:rFonts w:asciiTheme="majorHAnsi" w:hAnsiTheme="majorHAnsi" w:cstheme="majorHAnsi"/>
          <w:i/>
          <w:u w:val="single"/>
        </w:rPr>
        <w:t>Zakonom o obrtu i srodnim djelatnostima</w:t>
      </w:r>
      <w:r w:rsidRPr="00ED7B99">
        <w:rPr>
          <w:rFonts w:asciiTheme="majorHAnsi" w:hAnsiTheme="majorHAnsi" w:cstheme="majorHAnsi"/>
        </w:rPr>
        <w:t xml:space="preserve"> („Službene novine Federacije BiH“ br. 75/21) koji je donesen 2021. godine. Radi se o novom Zakonu koji je donio niz regulatornih unapređenja i olakšica vezanih za poslovanje obrta  te je omogućeno </w:t>
      </w:r>
      <w:r w:rsidRPr="00ED7B99">
        <w:rPr>
          <w:rFonts w:asciiTheme="majorHAnsi" w:hAnsiTheme="majorHAnsi" w:cstheme="majorHAnsi"/>
        </w:rPr>
        <w:lastRenderedPageBreak/>
        <w:t xml:space="preserve">vanjskotrgovinsko poslovanje obrtnika, ukinuta podjela obrta na vezane i posebne obrte čime je po prvi put omogućeno obavljanje pojedinih vrsta obrta i bez stručne spreme, koja je velikim dijelom sprječavala osobe, posebno mlade ljude da registriraju željeni obrt, a bez nepotrebnih administrativnih prepreka;  skraćena procedura i pojednostavljena registracija obrta, ograničeno izvršenje nad imovinom obrtnika, obrtniku omogućeno obavljati i druge djelatnosti, koje služe </w:t>
      </w:r>
      <w:r w:rsidRPr="005827F5">
        <w:rPr>
          <w:rFonts w:asciiTheme="majorHAnsi" w:hAnsiTheme="majorHAnsi" w:cstheme="majorHAnsi"/>
        </w:rPr>
        <w:t>obavljanju osnovne djelatnosti ili se uobičajeno obavljaju uz djelatnosti obuhvaćene rješenjem, omogućeno fizičkim osobama i umirovljenicima obavljanje obrta u vidu dodatnog i dopunskog zanimanja i drugi niz pogodnosti.</w:t>
      </w:r>
      <w:r w:rsidRPr="00ED7B99">
        <w:rPr>
          <w:rFonts w:asciiTheme="majorHAnsi" w:hAnsiTheme="majorHAnsi" w:cstheme="majorHAnsi"/>
        </w:rPr>
        <w:t xml:space="preserve"> </w:t>
      </w:r>
      <w:r w:rsidRPr="00ED7B99">
        <w:rPr>
          <w:rFonts w:asciiTheme="majorHAnsi" w:hAnsiTheme="majorHAnsi" w:cstheme="majorHAnsi"/>
          <w:i/>
          <w:u w:val="single"/>
        </w:rPr>
        <w:t>Pravilnikom o popisu obrta</w:t>
      </w:r>
      <w:r w:rsidRPr="00ED7B99">
        <w:rPr>
          <w:rFonts w:asciiTheme="majorHAnsi" w:hAnsiTheme="majorHAnsi" w:cstheme="majorHAnsi"/>
        </w:rPr>
        <w:t xml:space="preserve"> („Službene novine Federacije BiH“ br. 42/22) dat je popis obrta koji se mogu obavljati u skladu sa ovim Zakonom, dok je </w:t>
      </w:r>
      <w:r w:rsidRPr="00ED7B99">
        <w:rPr>
          <w:rFonts w:asciiTheme="majorHAnsi" w:hAnsiTheme="majorHAnsi" w:cstheme="majorHAnsi"/>
          <w:i/>
          <w:u w:val="single"/>
        </w:rPr>
        <w:t>Uredbom o zaštiti tradicionalnih i starih obrta</w:t>
      </w:r>
      <w:r w:rsidRPr="00ED7B99">
        <w:rPr>
          <w:rFonts w:asciiTheme="majorHAnsi" w:hAnsiTheme="majorHAnsi" w:cstheme="majorHAnsi"/>
        </w:rPr>
        <w:t xml:space="preserve"> („Službene novine Federacije BiH“ br. 28/22) dat popis tradicionalnih i starih obrta i uvjeti za njihovo obavljanje.  </w:t>
      </w:r>
    </w:p>
    <w:p w14:paraId="104546F2" w14:textId="77777777" w:rsidR="00E440CE" w:rsidRPr="00ED7B99" w:rsidRDefault="003422A9">
      <w:pPr>
        <w:spacing w:line="276" w:lineRule="auto"/>
        <w:jc w:val="both"/>
        <w:rPr>
          <w:rFonts w:asciiTheme="majorHAnsi" w:hAnsiTheme="majorHAnsi" w:cstheme="majorHAnsi"/>
        </w:rPr>
      </w:pPr>
      <w:r w:rsidRPr="00ED7B99">
        <w:rPr>
          <w:rFonts w:asciiTheme="majorHAnsi" w:hAnsiTheme="majorHAnsi" w:cstheme="majorHAnsi"/>
        </w:rPr>
        <w:t>Na specifične uslove za obavljanje djelatnosti poslovnih subjekata za koje postoje specifične odredbe utvrđene zasebnim zakonima, primjenjuju se odredbe navedenih Zakona – Zakon o ugostiteljskoj djelatnosti („Službene novine Federacije BiH“ br. 32/09), Zakon o unutrašnjoj trgovini  („Službene novine Federacije BiH“ br. 40/10 i 79/17), Zakon o poljoprivredi  („Službene novine Federacije BiH“ br. 88/07, 04/10 i 07/13).</w:t>
      </w:r>
    </w:p>
    <w:p w14:paraId="4CBF726D" w14:textId="77777777" w:rsidR="00E440CE" w:rsidRPr="00ED7B99" w:rsidRDefault="003422A9">
      <w:pPr>
        <w:spacing w:line="276" w:lineRule="auto"/>
        <w:jc w:val="both"/>
        <w:rPr>
          <w:rFonts w:asciiTheme="majorHAnsi" w:hAnsiTheme="majorHAnsi" w:cstheme="majorHAnsi"/>
          <w:color w:val="1F1A17"/>
        </w:rPr>
      </w:pPr>
      <w:r w:rsidRPr="00ED7B99">
        <w:rPr>
          <w:rFonts w:asciiTheme="majorHAnsi" w:hAnsiTheme="majorHAnsi" w:cstheme="majorHAnsi"/>
          <w:color w:val="1F1A17"/>
        </w:rPr>
        <w:t xml:space="preserve">Za dalji razvoj male privrede u Federaciji BiH jako je značajno istaknuti regulatorni okvir u  </w:t>
      </w:r>
      <w:r w:rsidR="009972A2" w:rsidRPr="00ED7B99">
        <w:rPr>
          <w:rFonts w:asciiTheme="majorHAnsi" w:hAnsiTheme="majorHAnsi" w:cstheme="majorHAnsi"/>
          <w:color w:val="1F1A17"/>
        </w:rPr>
        <w:t>o</w:t>
      </w:r>
      <w:r w:rsidRPr="00ED7B99">
        <w:rPr>
          <w:rFonts w:asciiTheme="majorHAnsi" w:hAnsiTheme="majorHAnsi" w:cstheme="majorHAnsi"/>
          <w:color w:val="1F1A17"/>
        </w:rPr>
        <w:t>blasti poduzetničke infrastrukture. Naime,  Vlada Federacije BiH je utvrdila Nacrt zakona o poduzetničkoj infrastrukturi u Federaciji BiH, koji je izradilo Federalno ministarstvo razvoja, poduzetništva i obrta, uz podršku Projekta lokalnog integriranog razvoja koji financira Evropska unija i provodi Razvojni program Ujedinjenih naroda (UNDP). Tokom izrade prednacrta ovog zakona su širom Federacije BiH izvršene potrebne konsultacije i javne rasprave sa svim relevantnim akterima s ciljem prikupljanja informacija i unapređenja teksta predmetnog zakona.</w:t>
      </w:r>
    </w:p>
    <w:p w14:paraId="6795A87F" w14:textId="77777777" w:rsidR="00E440CE" w:rsidRPr="00ED7B99" w:rsidRDefault="003422A9">
      <w:pPr>
        <w:spacing w:line="276" w:lineRule="auto"/>
        <w:jc w:val="both"/>
        <w:rPr>
          <w:rFonts w:asciiTheme="majorHAnsi" w:hAnsiTheme="majorHAnsi" w:cstheme="majorHAnsi"/>
          <w:color w:val="1F1A17"/>
        </w:rPr>
      </w:pPr>
      <w:r w:rsidRPr="00ED7B99">
        <w:rPr>
          <w:rFonts w:asciiTheme="majorHAnsi" w:hAnsiTheme="majorHAnsi" w:cstheme="majorHAnsi"/>
          <w:color w:val="1F1A17"/>
        </w:rPr>
        <w:t>Ovaj Zakon uređuje institucionalni okvir poduzetničke infrastrukture, poduzetničku infrastrukturu, poduzetničke potporne institucije, registar poduzetničke infrastrukture, sistem podrške za unapređenje poduzetničke infrastrukture i druga pitanja kojim će se sistemski urediti ovaj značajan dio poduzetničkog okruženja u Federaciji BiH.</w:t>
      </w:r>
    </w:p>
    <w:p w14:paraId="736DF55D" w14:textId="77777777" w:rsidR="009972A2" w:rsidRPr="00ED7B99" w:rsidRDefault="009972A2" w:rsidP="009972A2">
      <w:pPr>
        <w:spacing w:line="276" w:lineRule="auto"/>
        <w:jc w:val="both"/>
        <w:rPr>
          <w:rFonts w:asciiTheme="majorHAnsi" w:hAnsiTheme="majorHAnsi" w:cstheme="majorHAnsi"/>
          <w:color w:val="1F1A17"/>
        </w:rPr>
      </w:pPr>
      <w:r w:rsidRPr="00ED7B99">
        <w:rPr>
          <w:rFonts w:asciiTheme="majorHAnsi" w:hAnsiTheme="majorHAnsi" w:cstheme="majorHAnsi"/>
          <w:color w:val="1F1A17"/>
        </w:rPr>
        <w:t>Nakon što je Predstavnički dom Parlamenta FBiH usvojio Nacrt zakona o poduzetničkoj infrastrukturi, te nakon analiza pristiglih primjedbi i sugestija prijedlog zakona je upućen na mišljenje nadležnih institucija, čija mišljenja se očekuju prije upućivanja Vladi FBiH na razmatranje.</w:t>
      </w:r>
    </w:p>
    <w:p w14:paraId="5C6AD9D5" w14:textId="77777777" w:rsidR="00E440CE" w:rsidRPr="00ED7B99" w:rsidRDefault="00E440CE">
      <w:pPr>
        <w:spacing w:line="276" w:lineRule="auto"/>
        <w:jc w:val="both"/>
        <w:rPr>
          <w:rFonts w:asciiTheme="majorHAnsi" w:hAnsiTheme="majorHAnsi" w:cstheme="majorHAnsi"/>
          <w:color w:val="FF0000"/>
          <w:highlight w:val="yellow"/>
        </w:rPr>
      </w:pPr>
    </w:p>
    <w:p w14:paraId="0A33B3B2" w14:textId="77777777" w:rsidR="00E440CE" w:rsidRPr="00ED7B99" w:rsidRDefault="003422A9">
      <w:pPr>
        <w:spacing w:line="276" w:lineRule="auto"/>
        <w:jc w:val="both"/>
        <w:rPr>
          <w:rFonts w:asciiTheme="majorHAnsi" w:hAnsiTheme="majorHAnsi" w:cstheme="majorHAnsi"/>
        </w:rPr>
      </w:pPr>
      <w:r w:rsidRPr="00ED7B99">
        <w:rPr>
          <w:rFonts w:asciiTheme="majorHAnsi" w:hAnsiTheme="majorHAnsi" w:cstheme="majorHAnsi"/>
        </w:rPr>
        <w:t>*******************</w:t>
      </w:r>
    </w:p>
    <w:p w14:paraId="7C817C0B" w14:textId="77777777" w:rsidR="00E440CE" w:rsidRPr="00ED7B99" w:rsidRDefault="003422A9">
      <w:pPr>
        <w:spacing w:line="240" w:lineRule="auto"/>
        <w:jc w:val="both"/>
        <w:rPr>
          <w:rFonts w:asciiTheme="majorHAnsi" w:hAnsiTheme="majorHAnsi" w:cstheme="majorHAnsi"/>
        </w:rPr>
      </w:pPr>
      <w:r w:rsidRPr="00ED7B99">
        <w:rPr>
          <w:rFonts w:asciiTheme="majorHAnsi" w:hAnsiTheme="majorHAnsi" w:cstheme="majorHAnsi"/>
        </w:rPr>
        <w:t xml:space="preserve">Analiza u nastavku zasnovana je na analizi SBA dimenzija - (Small Busines s Act SBA) za Europu (2008) kao dokumenta koji uspostavlja sveobuhvatni okvir politika podrške malim i srednjim preduzećima (MSP) koje države članice, kandidati i potencijalni kandidati za članstvo trebaju donositi i razvijati kako bi se pospješio rast i razvoj MSP, jačala ekonomija i povećavala zapošljivost. </w:t>
      </w:r>
    </w:p>
    <w:p w14:paraId="0E809DAC" w14:textId="77777777" w:rsidR="00E440CE" w:rsidRPr="00ED7B99" w:rsidRDefault="00E440CE">
      <w:pPr>
        <w:spacing w:line="240" w:lineRule="auto"/>
        <w:jc w:val="both"/>
        <w:rPr>
          <w:rFonts w:asciiTheme="majorHAnsi" w:hAnsiTheme="majorHAnsi" w:cstheme="majorHAnsi"/>
        </w:rPr>
      </w:pPr>
    </w:p>
    <w:p w14:paraId="772D83B5" w14:textId="77777777" w:rsidR="00E440CE" w:rsidRPr="00ED7B99" w:rsidRDefault="003422A9" w:rsidP="00936783">
      <w:pPr>
        <w:pStyle w:val="Heading3"/>
        <w:numPr>
          <w:ilvl w:val="2"/>
          <w:numId w:val="13"/>
        </w:numPr>
        <w:rPr>
          <w:rFonts w:asciiTheme="majorHAnsi" w:eastAsia="Calibri" w:hAnsiTheme="majorHAnsi" w:cstheme="majorHAnsi"/>
        </w:rPr>
      </w:pPr>
      <w:bookmarkStart w:id="12" w:name="_Toc117458917"/>
      <w:r w:rsidRPr="00ED7B99">
        <w:rPr>
          <w:rFonts w:asciiTheme="majorHAnsi" w:eastAsia="Calibri" w:hAnsiTheme="majorHAnsi" w:cstheme="majorHAnsi"/>
        </w:rPr>
        <w:t>Poduzetničko učenje i poduzetništvo žena (dimenzija 1)</w:t>
      </w:r>
      <w:bookmarkEnd w:id="12"/>
    </w:p>
    <w:p w14:paraId="2822A7BF" w14:textId="77777777" w:rsidR="00E440CE" w:rsidRPr="00ED7B99" w:rsidRDefault="00E440CE">
      <w:pPr>
        <w:rPr>
          <w:rFonts w:asciiTheme="majorHAnsi" w:hAnsiTheme="majorHAnsi" w:cstheme="majorHAnsi"/>
        </w:rPr>
      </w:pPr>
    </w:p>
    <w:p w14:paraId="548A20EE" w14:textId="77777777" w:rsidR="00E440CE" w:rsidRPr="005827F5" w:rsidRDefault="003422A9">
      <w:pPr>
        <w:jc w:val="both"/>
        <w:rPr>
          <w:rFonts w:asciiTheme="majorHAnsi" w:hAnsiTheme="majorHAnsi" w:cstheme="majorHAnsi"/>
        </w:rPr>
      </w:pPr>
      <w:r w:rsidRPr="00ED7B99">
        <w:rPr>
          <w:rFonts w:asciiTheme="majorHAnsi" w:hAnsiTheme="majorHAnsi" w:cstheme="majorHAnsi"/>
        </w:rPr>
        <w:t xml:space="preserve">Poduzetnička kompetencija, kao jedna od kompetencija iz Europskog referentnog okvira ključnih kompetencija za cjeloživotno učenje, se odnosi na sposobnost djelovanja na osnovu mogućnosti i ideja kao i njihovo pretvaranje u vrijednosti za druge. Poduzetničko učenje predstavlja koncept obrazovanja i obuke koji podržava poduzetnički način razmišljanja i koji je zasnovan na razvoju pojedinaca, uključujući osnovne principe efektivnosti u svakodnevnom životu, a koji svi vode ka poduzetničkoj pismenosti društva u cjelini. Tokom 2018.-2019. godine Europska trening fondacija (ETF) je u okviru „Strateškog projekta o poduzetništvu i poduzetničkim vještinama za podršku Bosni i Hercegovini u definisanju sljedećih koraka za promicanje </w:t>
      </w:r>
      <w:r w:rsidRPr="005827F5">
        <w:rPr>
          <w:rFonts w:asciiTheme="majorHAnsi" w:hAnsiTheme="majorHAnsi" w:cstheme="majorHAnsi"/>
        </w:rPr>
        <w:t>ključnih kompetencija (poduzetnička i digitalna“ u saradnji sa Ministarstvom civilnih poslova BiH izradila dokument „Prioriteti za integraciju poduzetničkog učenja poduzetničke ključne kompetencije u obrazovne sisteme BiH (2021-2023)“ čiji je cilj usaglasiti prioritete i iduće korake u razvoju poduzetničkog učenja i poduzetničke kompetencije u skladu sa relevantnim ključnim EU politikama definiranim u Europskom okviru za poduzetničku kompetenciju (EntreComp). Između ostalog, dokument sadrži i kratkoročne, srednjoročne i dugoročne prioritete sa listom  mogućih aktivnosti, čijim bi se provođenjem ostvarila puna integracija poduzetničkog učenja i poduzetničke kompetencije u obrazovne sisteme u BiH.</w:t>
      </w:r>
    </w:p>
    <w:p w14:paraId="521E1C6F" w14:textId="0A155CE6" w:rsidR="00E440CE" w:rsidRPr="00ED7B99" w:rsidRDefault="003422A9">
      <w:pPr>
        <w:jc w:val="both"/>
        <w:rPr>
          <w:rFonts w:asciiTheme="majorHAnsi" w:hAnsiTheme="majorHAnsi" w:cstheme="majorHAnsi"/>
        </w:rPr>
      </w:pPr>
      <w:r w:rsidRPr="005827F5">
        <w:rPr>
          <w:rFonts w:asciiTheme="majorHAnsi" w:hAnsiTheme="majorHAnsi" w:cstheme="majorHAnsi"/>
        </w:rPr>
        <w:t>U proteklom periodu, na području BiH i FBiH postignut je određeni napredak u razvoju poduzetničkog učenja i integraciji poduzetničke kompetencije čemu je posebno doprinijela „Strategija učenja o poduzetništvu u obrazovnim sistemima u Bosni i Hercegovini za period 2012. – 2015. s akcionim planom“</w:t>
      </w:r>
      <w:r w:rsidRPr="00ED7B99">
        <w:rPr>
          <w:rFonts w:asciiTheme="majorHAnsi" w:hAnsiTheme="majorHAnsi" w:cstheme="majorHAnsi"/>
        </w:rPr>
        <w:t xml:space="preserve"> („Službeni glasnik Bosne i Hercegovine“, broj 31/12), pripremljena u okviru EU projekta IPA 2007 „Poduzetničko učenje u obrazovnim sistemima u BiH“.  U okviru projekta u okviru razvijeni su Programi za integraciju poduzetničke ključne kompetencije u formalno obrazovanje na ISCED nivoima 2 i 3 sa smjernicama za primjenu programa i za razvoj školskih partnerstava. Metodologija primjene programa uspješno je uvedena i testirana u 22 škole</w:t>
      </w:r>
      <w:r w:rsidRPr="00595CEE">
        <w:rPr>
          <w:rFonts w:asciiTheme="majorHAnsi" w:hAnsiTheme="majorHAnsi" w:cstheme="majorHAnsi"/>
        </w:rPr>
        <w:t xml:space="preserve">, </w:t>
      </w:r>
      <w:r w:rsidRPr="00ED7B99">
        <w:rPr>
          <w:rFonts w:asciiTheme="majorHAnsi" w:hAnsiTheme="majorHAnsi" w:cstheme="majorHAnsi"/>
        </w:rPr>
        <w:t>a metodologija školskih partnerstava uspostavljena smjernicama je testirana u 21 školi u BiH, te je poduzetnička kompetencija uvedena ukupno u 42 škole</w:t>
      </w:r>
      <w:r w:rsidRPr="00ED7B99">
        <w:rPr>
          <w:rFonts w:asciiTheme="majorHAnsi" w:hAnsiTheme="majorHAnsi" w:cstheme="majorHAnsi"/>
          <w:color w:val="FF0000"/>
        </w:rPr>
        <w:t xml:space="preserve">. </w:t>
      </w:r>
      <w:r w:rsidRPr="00ED7B99">
        <w:rPr>
          <w:rFonts w:asciiTheme="majorHAnsi" w:hAnsiTheme="majorHAnsi" w:cstheme="majorHAnsi"/>
        </w:rPr>
        <w:t>Projekat je učinio mnogo i na jačanju ljudskih kapaciteta za podršku integraciji poduzetničke ključne kompetencije kroz rad sa predstavnicima pedagoških zavoda ali o obuku nastavnika.</w:t>
      </w:r>
      <w:r w:rsidRPr="00ED7B99">
        <w:rPr>
          <w:rFonts w:asciiTheme="majorHAnsi" w:hAnsiTheme="majorHAnsi" w:cstheme="majorHAnsi"/>
          <w:vertAlign w:val="superscript"/>
        </w:rPr>
        <w:footnoteReference w:id="1"/>
      </w:r>
      <w:r w:rsidRPr="00ED7B99">
        <w:rPr>
          <w:rFonts w:asciiTheme="majorHAnsi" w:hAnsiTheme="majorHAnsi" w:cstheme="majorHAnsi"/>
        </w:rPr>
        <w:t xml:space="preserve"> Godine 2016. Potpisan Memorandum o uspostavi Partnerstva politika za cjeloživotno poduzetničko učenje na nivou FBiH, te je izrađen i akcioni plan za razvoj cjeloživotnog poduzetničkog učenja .</w:t>
      </w:r>
    </w:p>
    <w:p w14:paraId="68359D39" w14:textId="77777777" w:rsidR="00E440CE" w:rsidRPr="00ED7B99" w:rsidRDefault="003422A9">
      <w:pPr>
        <w:spacing w:line="240" w:lineRule="auto"/>
        <w:jc w:val="both"/>
        <w:rPr>
          <w:rFonts w:asciiTheme="majorHAnsi" w:hAnsiTheme="majorHAnsi" w:cstheme="majorHAnsi"/>
        </w:rPr>
      </w:pPr>
      <w:r w:rsidRPr="00ED7B99">
        <w:rPr>
          <w:rFonts w:asciiTheme="majorHAnsi" w:hAnsiTheme="majorHAnsi" w:cstheme="majorHAnsi"/>
        </w:rPr>
        <w:t xml:space="preserve">Međutim, iako je Bosna i Hercegovina već uspostavila ključnu kompetenciju za poduzetništvo unutar svog zajedničkog jezgrenog nastavnog plana i programa, odgovor obrazovnih institucija širom države sa aspekta provedbe nastavnog plana i programa bio je slab. I dalje se razvoj poduzetničke kompetencija i poduzetničko učenje uglavnom sprovodi kroz inicijative neformalnog poduzetničkog učenja što nema adekvatan i potreban nivo održivosti. </w:t>
      </w:r>
    </w:p>
    <w:p w14:paraId="6BDD77CF" w14:textId="77777777" w:rsidR="00E440CE" w:rsidRPr="005827F5" w:rsidRDefault="003422A9">
      <w:pPr>
        <w:spacing w:line="240" w:lineRule="auto"/>
        <w:jc w:val="both"/>
        <w:rPr>
          <w:rFonts w:asciiTheme="majorHAnsi" w:hAnsiTheme="majorHAnsi" w:cstheme="majorHAnsi"/>
        </w:rPr>
      </w:pPr>
      <w:r w:rsidRPr="00ED7B99">
        <w:rPr>
          <w:rFonts w:asciiTheme="majorHAnsi" w:hAnsiTheme="majorHAnsi" w:cstheme="majorHAnsi"/>
        </w:rPr>
        <w:lastRenderedPageBreak/>
        <w:t>Ovdje je potrebno istaknuti i inicijativu malih potpora Federalnog ministarstva obrazovanja i nauke, koja podupire razvoj nastavnika i uključuje ključnu kompetenciju poduzetništva, kao i online BH konfereciju  poduzetničkom učenju koju je organizovao Inkubator društvenih inovacija MUNJA 2020. godine čiji je cilj bio bio doprinos poduzetničkim mogućnostima mladih i jačanje perspektive zapošljavanja mladih na Zapadnom Balkanu</w:t>
      </w:r>
      <w:r w:rsidRPr="005827F5">
        <w:rPr>
          <w:rFonts w:asciiTheme="majorHAnsi" w:hAnsiTheme="majorHAnsi" w:cstheme="majorHAnsi"/>
        </w:rPr>
        <w:t>.</w:t>
      </w:r>
      <w:r w:rsidRPr="005827F5">
        <w:rPr>
          <w:rFonts w:asciiTheme="majorHAnsi" w:hAnsiTheme="majorHAnsi" w:cstheme="majorHAnsi"/>
          <w:i/>
        </w:rPr>
        <w:t> </w:t>
      </w:r>
      <w:r w:rsidRPr="005827F5">
        <w:rPr>
          <w:rFonts w:asciiTheme="majorHAnsi" w:hAnsiTheme="majorHAnsi" w:cstheme="majorHAnsi"/>
        </w:rPr>
        <w:t>Na konferenciji je istaknuto da je potrebno ojačati regionalnu mrežu za obrazovanje o poduzetništvu i njenu sposobnost da učestvuje u procesu reformi, podržati  rast inovativnih inicijativa za poduzetništvo mladih kroz treninge i mentorsku podršku te podržati razvoj modela učeničkih kompanija.</w:t>
      </w:r>
    </w:p>
    <w:p w14:paraId="2A4A33D1" w14:textId="4BE14D4C" w:rsidR="00E440CE" w:rsidRPr="00ED7B99" w:rsidRDefault="003422A9">
      <w:pPr>
        <w:spacing w:line="240" w:lineRule="auto"/>
        <w:jc w:val="both"/>
        <w:rPr>
          <w:rFonts w:asciiTheme="majorHAnsi" w:hAnsiTheme="majorHAnsi" w:cstheme="majorHAnsi"/>
        </w:rPr>
      </w:pPr>
      <w:r w:rsidRPr="005827F5">
        <w:rPr>
          <w:rFonts w:asciiTheme="majorHAnsi" w:hAnsiTheme="majorHAnsi" w:cstheme="majorHAnsi"/>
        </w:rPr>
        <w:t>U Federaciji Bosne i Hercegovine predmet „Osnove poduzetništva“ se izučava u svim srednjim školama, osim u medicinskim školama i gimnazijama, što implicira da značajan broj učenika nije obuhvaćen poduzetničkim učenjem. Poduzetništvo se kao predmet izučava na većini fakulteta ekonomskog smjera i na pojedinim fakultetima drugih smjerova</w:t>
      </w:r>
      <w:r w:rsidRPr="00ED7B99">
        <w:rPr>
          <w:rFonts w:asciiTheme="majorHAnsi" w:hAnsiTheme="majorHAnsi" w:cstheme="majorHAnsi"/>
        </w:rPr>
        <w:t xml:space="preserve">  </w:t>
      </w:r>
    </w:p>
    <w:p w14:paraId="0D538AFD" w14:textId="1D5F3CBF" w:rsidR="00E440CE" w:rsidRPr="005827F5" w:rsidRDefault="003422A9">
      <w:pPr>
        <w:spacing w:line="240" w:lineRule="auto"/>
        <w:jc w:val="both"/>
        <w:rPr>
          <w:rFonts w:asciiTheme="majorHAnsi" w:hAnsiTheme="majorHAnsi" w:cstheme="majorHAnsi"/>
          <w:color w:val="FF0000"/>
        </w:rPr>
      </w:pPr>
      <w:r w:rsidRPr="00ED7B99">
        <w:rPr>
          <w:rFonts w:asciiTheme="majorHAnsi" w:hAnsiTheme="majorHAnsi" w:cstheme="majorHAnsi"/>
        </w:rPr>
        <w:t xml:space="preserve">U kontektu poduzetništva žena, Federalno ministarstvo razvoja, poduzetništva i obrta je uz podršku projekta EU ProLocal, kojeg implementira GIZ – Njemačko društvo za međunarodnu saradnju, u okviru zajedničkog programa Evropske unije i Vlade </w:t>
      </w:r>
      <w:r w:rsidRPr="005827F5">
        <w:rPr>
          <w:rFonts w:asciiTheme="majorHAnsi" w:hAnsiTheme="majorHAnsi" w:cstheme="majorHAnsi"/>
        </w:rPr>
        <w:t xml:space="preserve">Njemačke za lokalnu samoupravu i ekonomski razvoj u BiH izradio Akcioni plan za razvoj poduzetništva žena u Federaciji BiH 2018-2020. godine koji se oslanja na 3 strateška cilja: 1) Unaprijediti analitičke osnove za praćenje i poticanje razvoja poduzetništva žena 2)  Osigurati sistemsku podršku razvoju poduzetništva žena 3) jačati promociju i povezivanje poduzetnica. </w:t>
      </w:r>
      <w:r w:rsidR="00196FD7" w:rsidRPr="005827F5">
        <w:rPr>
          <w:rFonts w:asciiTheme="majorHAnsi" w:hAnsiTheme="majorHAnsi" w:cstheme="majorHAnsi"/>
        </w:rPr>
        <w:t>Akcioni plan je implementiran i dostavljen izvještaj o implementaciji Vladi Federacije BiH.</w:t>
      </w:r>
      <w:r w:rsidR="00196FD7" w:rsidRPr="005827F5">
        <w:rPr>
          <w:rFonts w:asciiTheme="majorHAnsi" w:hAnsiTheme="majorHAnsi" w:cstheme="majorHAnsi"/>
          <w:color w:val="FF0000"/>
        </w:rPr>
        <w:t xml:space="preserve"> </w:t>
      </w:r>
    </w:p>
    <w:p w14:paraId="5907BD96" w14:textId="5DFD31C2" w:rsidR="00E440CE" w:rsidRPr="00ED7B99" w:rsidRDefault="003422A9">
      <w:pPr>
        <w:spacing w:line="240" w:lineRule="auto"/>
        <w:jc w:val="both"/>
        <w:rPr>
          <w:rFonts w:asciiTheme="majorHAnsi" w:hAnsiTheme="majorHAnsi" w:cstheme="majorHAnsi"/>
        </w:rPr>
      </w:pPr>
      <w:r w:rsidRPr="005827F5">
        <w:rPr>
          <w:rFonts w:asciiTheme="majorHAnsi" w:hAnsiTheme="majorHAnsi" w:cstheme="majorHAnsi"/>
        </w:rPr>
        <w:t>Federalno ministarstvo razvoja poduzetništva  i obrta je do 2017. godine realiziralo poseban godišnji program poticaja pod nazivom „Poticaj poduzetništvu žena“ u okviru kojeg je 2016. godine podržan opstanak i razvoj subjekata čije vlasnice su žene.  Nakon 2017. godine, pripadnost ciljnoj skupini „žene“ se kao kriterij boduje dodatnim brojem bodova u okviru svih relevantnih programa u okviru godišnjeg programa razvoja male privrede kojim se odabiraju korisnici grant sredstava</w:t>
      </w:r>
      <w:r w:rsidRPr="00ED7B99">
        <w:rPr>
          <w:rFonts w:asciiTheme="majorHAnsi" w:hAnsiTheme="majorHAnsi" w:cstheme="majorHAnsi"/>
        </w:rPr>
        <w:t xml:space="preserve"> ovog ministarstva. </w:t>
      </w:r>
    </w:p>
    <w:p w14:paraId="19010DBE" w14:textId="77777777" w:rsidR="00E440CE" w:rsidRPr="00ED7B99" w:rsidRDefault="003422A9">
      <w:pPr>
        <w:spacing w:line="240" w:lineRule="auto"/>
        <w:jc w:val="both"/>
        <w:rPr>
          <w:rFonts w:asciiTheme="majorHAnsi" w:hAnsiTheme="majorHAnsi" w:cstheme="majorHAnsi"/>
        </w:rPr>
      </w:pPr>
      <w:r w:rsidRPr="00ED7B99">
        <w:rPr>
          <w:rFonts w:asciiTheme="majorHAnsi" w:hAnsiTheme="majorHAnsi" w:cstheme="majorHAnsi"/>
        </w:rPr>
        <w:t>U proteklom periodu realizirane su brojne aktivnosti i mjere s ciljem ravnopravnog uključivanja žena na tržište rada uključujući i žensko poduzetništvo.  Vlada Federacije BiH posredstvom Federalnog zavoda za zapošljavanje u saradnji s kantonalnim službama za zapošljavanje provodi programe aktivne politike zapošljavanja, pri čemu se posebna podrška pruža tzv. „teže zapošljivim“ kategorijama nezaposlenih osoba uključujući žene. Ove mjere pokazale su se kao kratkotrajne i nedovoljno efikasne jer dovode do privremenih poboljšanja s obzirom na to da se zaposlene osobe vrlo brzo vraćaju na evidenciju nezaposlenih. Neophodan je sistematski pristup dugoročnom rješavanju problema nezaposlenosti u BiH, te ravnopravnom tretmanu i učešću žena i muškaraca na tržištu rada i pristupu ekonomskim resursima</w:t>
      </w:r>
      <w:r w:rsidRPr="00ED7B99">
        <w:rPr>
          <w:rFonts w:asciiTheme="majorHAnsi" w:hAnsiTheme="majorHAnsi" w:cstheme="majorHAnsi"/>
          <w:vertAlign w:val="superscript"/>
        </w:rPr>
        <w:footnoteReference w:id="2"/>
      </w:r>
    </w:p>
    <w:p w14:paraId="5878FB3A" w14:textId="556ACC45" w:rsidR="00E440CE" w:rsidRPr="005827F5" w:rsidRDefault="003422A9">
      <w:pPr>
        <w:spacing w:line="240" w:lineRule="auto"/>
        <w:jc w:val="both"/>
        <w:rPr>
          <w:rFonts w:asciiTheme="majorHAnsi" w:hAnsiTheme="majorHAnsi" w:cstheme="majorHAnsi"/>
        </w:rPr>
      </w:pPr>
      <w:r w:rsidRPr="00ED7B99">
        <w:rPr>
          <w:rFonts w:asciiTheme="majorHAnsi" w:hAnsiTheme="majorHAnsi" w:cstheme="majorHAnsi"/>
        </w:rPr>
        <w:t xml:space="preserve">Gender akcioni plan Bosne i Hercegovine za period 2018.-2022. godine   kao jednu od mjera čiji je cilj eliminiranje diskriminacije na osnovu spola u radu, zapošljavanju i na tržištu rada te osiguravanje jednakih mogućnosti ženama i muškarcima u pristupu ekonomskim resursima, uključujući i smanjenje siromaštva putem novih makroekonomskih i razvojnih strategija utvrđuje i mjere I.3.8. Organiziranje programa obuka za žene, s ciljem osposobljavanja za traženje, izbor i dobivanje adekvatnog zaposlenja, uključujući prekvalifikaciju i samozapošljavanje, pokretanje i razvijanje poduzetništva; te I.3.9. Praćenje napretka i </w:t>
      </w:r>
      <w:r w:rsidRPr="00ED7B99">
        <w:rPr>
          <w:rFonts w:asciiTheme="majorHAnsi" w:hAnsiTheme="majorHAnsi" w:cstheme="majorHAnsi"/>
        </w:rPr>
        <w:lastRenderedPageBreak/>
        <w:t xml:space="preserve">izvještavanje o zastupljenosti žena i muškaraca u oblasti rada, zapošljavanja i pristupa ekonomskim resursima, kao i u </w:t>
      </w:r>
      <w:r w:rsidRPr="005827F5">
        <w:rPr>
          <w:rFonts w:asciiTheme="majorHAnsi" w:hAnsiTheme="majorHAnsi" w:cstheme="majorHAnsi"/>
        </w:rPr>
        <w:t>oblasti ženskog poduzetništva.</w:t>
      </w:r>
    </w:p>
    <w:p w14:paraId="344ACBAB" w14:textId="77777777" w:rsidR="00E440CE" w:rsidRPr="005827F5" w:rsidRDefault="003422A9">
      <w:pPr>
        <w:spacing w:line="276" w:lineRule="auto"/>
        <w:jc w:val="both"/>
        <w:rPr>
          <w:rFonts w:asciiTheme="majorHAnsi" w:hAnsiTheme="majorHAnsi" w:cstheme="majorHAnsi"/>
        </w:rPr>
      </w:pPr>
      <w:r w:rsidRPr="005827F5">
        <w:rPr>
          <w:rFonts w:asciiTheme="majorHAnsi" w:hAnsiTheme="majorHAnsi" w:cstheme="majorHAnsi"/>
        </w:rPr>
        <w:t xml:space="preserve">U okviru jednog od prioriteta Strateškog cilja 1. Ubrzan ekonomski razvoj Strategije razvoja FBiH 2021.-2027. jtačnije Prioriteta 1.3. Podržavati razvoj poslovnog privatnog sektora definisano je da je neophodno uklanjati barijere ulasku u poslovnu aktivnost i izlasku iz nje, kako bi se povećao broj preduzetnika (naročito žena i mladih), dok pripadajuća mjera 1.3.6. Diverzificirati i unapređivati finansijski sistem propisuje da daljnji razvoj finansijskog sistema podrazumijeva formiranje garantnog fonda i fonda rizičnog kapitala u okviru Razvojne banke FBiH, kojim bi se podržali MSP-ovi s potencijalom rasta, kao i preduzetništvo žena i mladih. Također, Strategija propisuje da mjerom 2.5.4. Poboljšavati poziciju ranjivih grupa na tržištu rada treba ublažiti problem nedovoljne zastupljenosti žena i mladih u preduzetništvu, te ukazati na izazove i mogućnosti koje im se nude. Potrebno je kreirati posebne programe za ove grupe te promovirati preduzetništvo kroz formalno obrazovanje i cjeloživotno učenje i podršku ženama preduzetnicama za uključivanje u ženske evropske preduzetničke mreže. </w:t>
      </w:r>
    </w:p>
    <w:p w14:paraId="3017F7EC" w14:textId="61923C59" w:rsidR="00595CEE" w:rsidRPr="00ED7B99" w:rsidRDefault="003422A9">
      <w:pPr>
        <w:spacing w:line="240" w:lineRule="auto"/>
        <w:jc w:val="both"/>
        <w:rPr>
          <w:rFonts w:asciiTheme="majorHAnsi" w:hAnsiTheme="majorHAnsi" w:cstheme="majorHAnsi"/>
        </w:rPr>
      </w:pPr>
      <w:r w:rsidRPr="005827F5">
        <w:rPr>
          <w:rFonts w:asciiTheme="majorHAnsi" w:hAnsiTheme="majorHAnsi" w:cstheme="majorHAnsi"/>
        </w:rPr>
        <w:t>Društveno poduzetništvo može biti jedna od poluga razvoja cjelokupnog poduzetništva u Federaciji BiH. Usvojenom platformom o socijalnom/društvenom poduzetništvu u Federaciji Bosne i Hercegovini izrađenoj u okviru Projekta zapošljavanja</w:t>
      </w:r>
      <w:r w:rsidRPr="00ED7B99">
        <w:rPr>
          <w:rFonts w:asciiTheme="majorHAnsi" w:hAnsiTheme="majorHAnsi" w:cstheme="majorHAnsi"/>
        </w:rPr>
        <w:t xml:space="preserve"> mladih (YEP) stvorena je osnova i poluga za izradu nacrta Zakona o društvenom poduzetništvu Federacije BiH. Federalno ministarstvo razvoja, poduzetništva i obrta je tokom 2021. godine sprovodilo aktivnosti na izradi prednacrta Zakona o društvenom poduzetništvu oslanjajući se na referente dokumente Europske Unije i BiH kako bi se regulirala ova oblast. </w:t>
      </w:r>
    </w:p>
    <w:p w14:paraId="71922534" w14:textId="77777777" w:rsidR="00E440CE" w:rsidRPr="00ED7B99" w:rsidRDefault="003422A9" w:rsidP="00936783">
      <w:pPr>
        <w:pStyle w:val="Heading3"/>
        <w:numPr>
          <w:ilvl w:val="2"/>
          <w:numId w:val="13"/>
        </w:numPr>
        <w:rPr>
          <w:rFonts w:asciiTheme="majorHAnsi" w:eastAsia="Calibri" w:hAnsiTheme="majorHAnsi" w:cstheme="majorHAnsi"/>
        </w:rPr>
      </w:pPr>
      <w:bookmarkStart w:id="13" w:name="_Toc117458918"/>
      <w:r w:rsidRPr="00ED7B99">
        <w:rPr>
          <w:rFonts w:asciiTheme="majorHAnsi" w:eastAsia="Calibri" w:hAnsiTheme="majorHAnsi" w:cstheme="majorHAnsi"/>
        </w:rPr>
        <w:t>Stečaj i druga šansa za MSP (dimenzija 2)</w:t>
      </w:r>
      <w:bookmarkEnd w:id="13"/>
    </w:p>
    <w:p w14:paraId="0EAA3760" w14:textId="77777777" w:rsidR="00E440CE" w:rsidRPr="005827F5" w:rsidRDefault="003422A9">
      <w:pPr>
        <w:jc w:val="both"/>
        <w:rPr>
          <w:rFonts w:asciiTheme="majorHAnsi" w:hAnsiTheme="majorHAnsi" w:cstheme="majorHAnsi"/>
        </w:rPr>
      </w:pPr>
      <w:r w:rsidRPr="00ED7B99">
        <w:rPr>
          <w:rFonts w:asciiTheme="majorHAnsi" w:hAnsiTheme="majorHAnsi" w:cstheme="majorHAnsi"/>
        </w:rPr>
        <w:t xml:space="preserve">Bosna i Hercegovina je napravila značajan iskorak harmonizacijom politika vezanih za stečaj kroz cijelu teritoriju države kroz novi hibridni mehanizam za </w:t>
      </w:r>
      <w:r w:rsidRPr="005827F5">
        <w:rPr>
          <w:rFonts w:asciiTheme="majorHAnsi" w:hAnsiTheme="majorHAnsi" w:cstheme="majorHAnsi"/>
        </w:rPr>
        <w:t>predstečajno restrukturianje i oporavak, međutim nije mnogo urađeno na uspostavi mehanizama za sprečavanje stečaja i bankrota kao što su uspostava sistema ranog upozorenja ili promocija mehanizama „druge šanse“ za poduzetnike.</w:t>
      </w:r>
    </w:p>
    <w:p w14:paraId="331B1E8A" w14:textId="77777777" w:rsidR="00E440CE" w:rsidRPr="005827F5" w:rsidRDefault="003422A9">
      <w:pPr>
        <w:jc w:val="both"/>
        <w:rPr>
          <w:rFonts w:asciiTheme="majorHAnsi" w:hAnsiTheme="majorHAnsi" w:cstheme="majorHAnsi"/>
        </w:rPr>
      </w:pPr>
      <w:r w:rsidRPr="005827F5">
        <w:rPr>
          <w:rFonts w:asciiTheme="majorHAnsi" w:hAnsiTheme="majorHAnsi" w:cstheme="majorHAnsi"/>
        </w:rPr>
        <w:t xml:space="preserve">Nažalost, za razliku od drugih dijelova BiH, u Federaciji BiH javne institucije nisu uspostavile inicijative za rano upozorenje koje bi ukazale na zloupotrebe finansijskih alata, kao što su porezne izjave ili bankovni zajmovi. Međutim, i ovi instrumenti imaju manjkavosti posebno u kontektsu MSP, jer vlasnici preduzeća koji su u finansijskim problemima možda neće aplicirati za bankovne kredite jer nisu u prilic imati  sredstva obezbjeđenja kredita. Također, kada se predaju finansijsku izvještaji za prethodnu godinu može biti kasno za davanje savjeta za unapređenje poslovanja i djelovanje po ovom pitanju. Sa druge strane, na nivou Federacije BiH uveden je elektronski registar nesolventnih preduzeća kako bi se harmonizirala legislativa sa nivoom RS-a i BD BiH. Godine 2021. donesen je novi Zakon o stečaju FBiH („Službene novine FBiH“ br. 53/21)  kojim se uređuju predstečajni postupak i stečajni postupak, pravne posljedice otvaranja i provođenja predstečajnog postupka i stečajnog postupka, reorganizacija stečajnog dužnika nesposobnog za plaćanje na osnovu stečajnog plana i međunarodni stečaj. Novim Zakonom o stečaju uvodi se predstečajni postupak, čiji je cilj  finansijsko i operativno restrukturiranje privrednih subjekata a u predstečajnom postupku omogućeno je nelikvidnom privrednom društvu da zaključi nagodbu sa povjeriocima u cilju lakšeg i povoljnijeg izmirenja novčanih obaveza. Time bi se izbjegao stečaj </w:t>
      </w:r>
      <w:r w:rsidRPr="005827F5">
        <w:rPr>
          <w:rFonts w:asciiTheme="majorHAnsi" w:hAnsiTheme="majorHAnsi" w:cstheme="majorHAnsi"/>
        </w:rPr>
        <w:lastRenderedPageBreak/>
        <w:t>privrednog društva i ono bi nastavilo poslovnu djelatnost, a povjerioci bi bili namireni bolje nego u stečajnom postupku koji dugo traje i puno košta.</w:t>
      </w:r>
    </w:p>
    <w:p w14:paraId="326F649B" w14:textId="77777777" w:rsidR="00E440CE" w:rsidRPr="00ED7B99" w:rsidRDefault="003422A9">
      <w:pPr>
        <w:jc w:val="both"/>
        <w:rPr>
          <w:rFonts w:asciiTheme="majorHAnsi" w:hAnsiTheme="majorHAnsi" w:cstheme="majorHAnsi"/>
        </w:rPr>
      </w:pPr>
      <w:r w:rsidRPr="005827F5">
        <w:rPr>
          <w:rFonts w:asciiTheme="majorHAnsi" w:hAnsiTheme="majorHAnsi" w:cstheme="majorHAnsi"/>
        </w:rPr>
        <w:t>U Republici Srpskoj je urađeno mnogo na promociji „druge šanse“ za poduzetnike kroz projekat finansiran u okviru EU, što je praksa koju je potrebno preslikati i na FBiH.</w:t>
      </w:r>
    </w:p>
    <w:p w14:paraId="44E8060B" w14:textId="77777777" w:rsidR="00E440CE" w:rsidRPr="00ED7B99" w:rsidRDefault="003422A9" w:rsidP="00936783">
      <w:pPr>
        <w:pStyle w:val="Heading3"/>
        <w:numPr>
          <w:ilvl w:val="2"/>
          <w:numId w:val="13"/>
        </w:numPr>
        <w:rPr>
          <w:rFonts w:asciiTheme="majorHAnsi" w:eastAsia="Calibri" w:hAnsiTheme="majorHAnsi" w:cstheme="majorHAnsi"/>
        </w:rPr>
      </w:pPr>
      <w:bookmarkStart w:id="14" w:name="_Toc117458919"/>
      <w:r w:rsidRPr="00ED7B99">
        <w:rPr>
          <w:rFonts w:asciiTheme="majorHAnsi" w:eastAsia="Calibri" w:hAnsiTheme="majorHAnsi" w:cstheme="majorHAnsi"/>
        </w:rPr>
        <w:t>Institucionalni i regulatorni okvir za donošenje politika vezanih za malu privredu (dimenzija 3)</w:t>
      </w:r>
      <w:bookmarkEnd w:id="14"/>
    </w:p>
    <w:p w14:paraId="143CC01F" w14:textId="77777777" w:rsidR="00E440CE" w:rsidRPr="00ED7B99" w:rsidRDefault="00E440CE">
      <w:pPr>
        <w:rPr>
          <w:rFonts w:asciiTheme="majorHAnsi" w:hAnsiTheme="majorHAnsi" w:cstheme="majorHAnsi"/>
        </w:rPr>
      </w:pPr>
    </w:p>
    <w:p w14:paraId="79A31CDB"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Jedno od SBA načela jeste “Prvo misli na male” implicirajući potrebu da se prilikom donošenja propisa posebno vodi računa o uticaju propisa na mala i srednja preduzeća. Također, jedan od ključnih aspekata povoljnog poslovnog okruženja jeste institucionalni i regionalni okvir koji treba biti prilagođen potrebama MSP-a i podržavati lakoću njihovog osnivanja, očuvanja i daljeg razvoja sa navedenog aspekta. Nažalost, administrativno ustrojstvo Bosne i Hercegovine značajno utiče na nepovoljnost ovog aspekta poslovnog okruženja, posebno na nivou Federacije BiH gdje se propisi koji regulišu poslovanje i pitanja od značaja za poslovanje subjekata male privrede donose na entitetskom, kantonalnom i lokalnom nivou odnosno od strane gradskih i općinskih struktura. Administrativno ustrojstvo Bosne i Hercegovine doprinosi nepovoljnom pristupu internom tržištu zbog različitih procedura na nivou entiteta, što doprinosi i manjoj investicionoj atraktivnosti BiH a time i entiteta. Prema Indeksu MSP politika za Zapadni Balkan  2022, COVID 19 pandemija dodatno je doprinijela povećanju izazova sa kojima se suočavaju mala i srednja preduzeća u BiH, uključujući i FBiH, posebno s aspekta sive ekonomije. </w:t>
      </w:r>
    </w:p>
    <w:p w14:paraId="0196F539" w14:textId="478830D2" w:rsidR="00E440CE" w:rsidRPr="005827F5" w:rsidRDefault="003422A9">
      <w:pPr>
        <w:jc w:val="both"/>
        <w:rPr>
          <w:rFonts w:asciiTheme="majorHAnsi" w:hAnsiTheme="majorHAnsi" w:cstheme="majorHAnsi"/>
        </w:rPr>
      </w:pPr>
      <w:r w:rsidRPr="005827F5">
        <w:rPr>
          <w:rFonts w:asciiTheme="majorHAnsi" w:hAnsiTheme="majorHAnsi" w:cstheme="majorHAnsi"/>
        </w:rPr>
        <w:t xml:space="preserve">Jedan od ključnih izazova u ovoj oblasti jeste koordinacija MSP politika između raličitih nosilaca vlasti u BiH. Određeni pomak je načinjen izradom Strateških smjernica za harmonizaciju podrške razvoju MSP u BiH 2021-2027, koja je usklađena sa entitetima i BD BiH, ali se njihovo konačno usvajanje još uvijek nike desilo uslijed  aktuelne političke situacije vezane za rad </w:t>
      </w:r>
      <w:r w:rsidR="0010687A" w:rsidRPr="005827F5">
        <w:rPr>
          <w:rFonts w:asciiTheme="majorHAnsi" w:hAnsiTheme="majorHAnsi" w:cstheme="majorHAnsi"/>
        </w:rPr>
        <w:t>institucija BiH</w:t>
      </w:r>
      <w:r w:rsidRPr="005827F5">
        <w:rPr>
          <w:rFonts w:asciiTheme="majorHAnsi" w:hAnsiTheme="majorHAnsi" w:cstheme="majorHAnsi"/>
        </w:rPr>
        <w:t>. Usvajanje navedenih smjernica od ključnog je značaja za ispunjavanje obaveza u ovom segmentu u procesu pristupanja EU. Smjernice će biti osnova i svakako uzete u obzir prilikom izrade ove Strategije kako bi se osigurala usklađenost sa navedenim strateškim dokumentom i doprinijelo harmoniziranoj koordinaciji u oblasti MSP-a.</w:t>
      </w:r>
    </w:p>
    <w:p w14:paraId="174A4255" w14:textId="77777777" w:rsidR="00E440CE" w:rsidRPr="005827F5" w:rsidRDefault="003422A9">
      <w:pPr>
        <w:jc w:val="both"/>
        <w:rPr>
          <w:rFonts w:asciiTheme="majorHAnsi" w:hAnsiTheme="majorHAnsi" w:cstheme="majorHAnsi"/>
        </w:rPr>
      </w:pPr>
      <w:r w:rsidRPr="005827F5">
        <w:rPr>
          <w:rFonts w:asciiTheme="majorHAnsi" w:hAnsiTheme="majorHAnsi" w:cstheme="majorHAnsi"/>
        </w:rPr>
        <w:t xml:space="preserve">Do izrade Strategije razvoja male privrede FBiH za period 2022-2027., politike razvoja MSP-a su utvrđene Strategijom razvoja Federacije BiH za period 2021.-2027. Koordinaciju politika, njihov monitoring i evaluaciju sprovodi Federalno ministarstvo razvoja, poduzetništva i obrta, dok će monitoring evaluacije Smjernica za harmonizaciju podrške razvoju MSP-a u BiH vršiti Ministarstvo vanjske trgovine i ekonomskih odnosa BiH. </w:t>
      </w:r>
    </w:p>
    <w:p w14:paraId="16DF7A52" w14:textId="42220B9B" w:rsidR="00E440CE" w:rsidRPr="005827F5" w:rsidRDefault="003422A9">
      <w:pPr>
        <w:jc w:val="both"/>
        <w:rPr>
          <w:rFonts w:asciiTheme="majorHAnsi" w:hAnsiTheme="majorHAnsi" w:cstheme="majorHAnsi"/>
          <w:color w:val="FF0000"/>
        </w:rPr>
      </w:pPr>
      <w:r w:rsidRPr="005827F5">
        <w:rPr>
          <w:rFonts w:asciiTheme="majorHAnsi" w:hAnsiTheme="majorHAnsi" w:cstheme="majorHAnsi"/>
        </w:rPr>
        <w:t xml:space="preserve">U kontekstu regulatornog okvira u proteklom periodu na nivou Federacije BiH uspostavljen je registar taksi i naknada, a kao što je ranije navedeno donesen i novi Zakon o obrtu i srodnim djelatnostima koji pojednostavljuje proces osnivanja i poslovanja obrta i srodnih djelatnosti na nivou Federacije BiH. </w:t>
      </w:r>
    </w:p>
    <w:p w14:paraId="166446B0" w14:textId="77777777" w:rsidR="00E440CE" w:rsidRPr="00ED7B99" w:rsidRDefault="003422A9">
      <w:pPr>
        <w:jc w:val="both"/>
        <w:rPr>
          <w:rFonts w:asciiTheme="majorHAnsi" w:hAnsiTheme="majorHAnsi" w:cstheme="majorHAnsi"/>
        </w:rPr>
      </w:pPr>
      <w:r w:rsidRPr="005827F5">
        <w:rPr>
          <w:rFonts w:asciiTheme="majorHAnsi" w:hAnsiTheme="majorHAnsi" w:cstheme="majorHAnsi"/>
        </w:rPr>
        <w:t xml:space="preserve">Bitno je istaći da je na nivou Federacije BiH 2020. godine donesena nova Uredba o postupku procjene uticaja propisa u FBiH (RIA - Regulatory Impact Assesment) koja je proširila obuhvat obavezne procjene uticaja propisa na mala i srednja preduzeća. Iako postoji formalni okvir, ali i opredjeljenje da se prilikom donošenja propisa procjenjuje uticaj na mala i srednja </w:t>
      </w:r>
      <w:r w:rsidRPr="005827F5">
        <w:rPr>
          <w:rFonts w:asciiTheme="majorHAnsi" w:hAnsiTheme="majorHAnsi" w:cstheme="majorHAnsi"/>
        </w:rPr>
        <w:lastRenderedPageBreak/>
        <w:t>preduzeća, prema nalazima Indeksa MSP politika za Zapadni Balkan, još uvijek je potpuna primjena izazov na nivou entiteta. Potrebno je napomenuti i da</w:t>
      </w:r>
      <w:r w:rsidRPr="00ED7B99">
        <w:rPr>
          <w:rFonts w:asciiTheme="majorHAnsi" w:hAnsiTheme="majorHAnsi" w:cstheme="majorHAnsi"/>
        </w:rPr>
        <w:t xml:space="preserve"> regulatorni okvir dopušta skraćenu RIA proceduru smanjujući obuhvat analize koja se sprovodi u ranim fazama kreiranja politika.</w:t>
      </w:r>
    </w:p>
    <w:p w14:paraId="1FF8942F" w14:textId="5B7630A2" w:rsidR="00E440CE" w:rsidRPr="00ED7B99" w:rsidRDefault="003422A9">
      <w:pPr>
        <w:jc w:val="both"/>
        <w:rPr>
          <w:rFonts w:asciiTheme="majorHAnsi" w:hAnsiTheme="majorHAnsi" w:cstheme="majorHAnsi"/>
        </w:rPr>
      </w:pPr>
      <w:r w:rsidRPr="00ED7B99">
        <w:rPr>
          <w:rFonts w:asciiTheme="majorHAnsi" w:hAnsiTheme="majorHAnsi" w:cstheme="majorHAnsi"/>
        </w:rPr>
        <w:t>Na nivou Federacije BiH postoje određeni mehanizi za javno-privatne konsultacije  te je razvijen i online portal za navedene namjene, ali koji nažalost još uvijek nije u funkciji niti operativan.</w:t>
      </w:r>
      <w:r w:rsidR="00595CEE">
        <w:rPr>
          <w:rFonts w:asciiTheme="majorHAnsi" w:hAnsiTheme="majorHAnsi" w:cstheme="majorHAnsi"/>
        </w:rPr>
        <w:t xml:space="preserve"> </w:t>
      </w:r>
      <w:r w:rsidRPr="00ED7B99">
        <w:rPr>
          <w:rFonts w:asciiTheme="majorHAnsi" w:hAnsiTheme="majorHAnsi" w:cstheme="majorHAnsi"/>
        </w:rPr>
        <w:t>Federalno ministarstvo razvoja, poduzetništva i obrta je sprovelo niz aktivnosti vezano za javno-privatne konsultacije prilikom izrade nacrta zakona iz resorne nadležnosti uključujući Zakon o obrtu i srodnim djelatnostima, nacrt Zakona o poticanju razvoja male privrede, nacrt Zakona o poduzetničkoj infrastrukturi FBiH. Kroz sastanke i javne rasprave održane širom FBiH, osigurano je učešće udruženja poslodavaca, kantonalnih ministarstava,  obrtničkih i privrednih komora i drugih relevantnih institucija a posebno predstavnika MSP sektora u FBiH te se ovakav način pokazao kao efikasan način prezentacije i diskusije o nacrtima regulatornih propisa uvažavajući značajan broj prijedloga i sugestija dobivenih tokom konsultativnih sastanaka i javnih rasprava. Svakako se kao razvojna potreba ukazuje potreba za finalizacijom uspostave online portala za javne konsultacije kako bi se osigurao mehanizam za promptniji ali i veći obuhvat i mogućnosti učešća u konsultacijama. Navedeno je posebno značajno s aspekta unapređenja javno-privatnog dijaloga i uvažavanja potreba MSP-a i drugih subjekata male privrede prilikom unapređenja regulatornog okvira u ovoj oblasti u FBiH.</w:t>
      </w:r>
    </w:p>
    <w:p w14:paraId="6F7A08B5" w14:textId="77777777" w:rsidR="00E440CE" w:rsidRPr="00ED7B99" w:rsidRDefault="003422A9" w:rsidP="00936783">
      <w:pPr>
        <w:pStyle w:val="Heading3"/>
        <w:numPr>
          <w:ilvl w:val="2"/>
          <w:numId w:val="13"/>
        </w:numPr>
        <w:rPr>
          <w:rFonts w:asciiTheme="majorHAnsi" w:eastAsia="Calibri" w:hAnsiTheme="majorHAnsi" w:cstheme="majorHAnsi"/>
        </w:rPr>
      </w:pPr>
      <w:bookmarkStart w:id="15" w:name="_Toc117458920"/>
      <w:r w:rsidRPr="00ED7B99">
        <w:rPr>
          <w:rFonts w:asciiTheme="majorHAnsi" w:eastAsia="Calibri" w:hAnsiTheme="majorHAnsi" w:cstheme="majorHAnsi"/>
        </w:rPr>
        <w:t>Operativni ambijent za MSP (dimenzija 4)</w:t>
      </w:r>
      <w:bookmarkEnd w:id="15"/>
    </w:p>
    <w:p w14:paraId="37AD0D77" w14:textId="77777777" w:rsidR="00E440CE" w:rsidRPr="00ED7B99" w:rsidRDefault="00E440CE">
      <w:pPr>
        <w:rPr>
          <w:rFonts w:asciiTheme="majorHAnsi" w:hAnsiTheme="majorHAnsi" w:cstheme="majorHAnsi"/>
        </w:rPr>
      </w:pPr>
    </w:p>
    <w:p w14:paraId="04EA5A49"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Dimenzija 4 Small Business Act-a odnosi se na smanjenje barijera za poslovanje odnosno procjenu operativnog okruženja u kojem MSP funkcionišu, određeno lakoćom korištenja digitalnih usluga, brojem procedura i povezanim troškovima sa načinima interkacije sa vladinim institucijama.</w:t>
      </w:r>
    </w:p>
    <w:p w14:paraId="2D966402" w14:textId="77777777" w:rsidR="00E440CE" w:rsidRPr="005827F5" w:rsidRDefault="003422A9">
      <w:pPr>
        <w:jc w:val="both"/>
        <w:rPr>
          <w:rFonts w:asciiTheme="majorHAnsi" w:hAnsiTheme="majorHAnsi" w:cstheme="majorHAnsi"/>
        </w:rPr>
      </w:pPr>
      <w:r w:rsidRPr="00ED7B99">
        <w:rPr>
          <w:rFonts w:asciiTheme="majorHAnsi" w:hAnsiTheme="majorHAnsi" w:cstheme="majorHAnsi"/>
        </w:rPr>
        <w:t xml:space="preserve">COVID 19 pandemija koja se desila 2020. godine a čiji negativni efekti se još uvijek osjećaju, dodatno je naglasila značaj digitalizacije koja je prepoznata kao ključni element privrednog oporavka ali i funkcionisanja cijelog sektora zdravstva, socijalne zaštite i drugih društvenih sektora. U vezi s time od ključne je važnosti Digitalni kompas, prijedlog Europske </w:t>
      </w:r>
      <w:r w:rsidRPr="005827F5">
        <w:rPr>
          <w:rFonts w:asciiTheme="majorHAnsi" w:hAnsiTheme="majorHAnsi" w:cstheme="majorHAnsi"/>
        </w:rPr>
        <w:t xml:space="preserve">komisije za strategiju kojom se utvrđuju konkretni digitalni ciljevi i ključne etape koje treba ostvariti do 2030. Prijedlogom se u prvi plan stavljaju digitalne vještine i obrazovanje, a temelji se na četirima područjima: vještinama, poslovanju, javnoj upravi i infrastrukturi. </w:t>
      </w:r>
      <w:r w:rsidRPr="005827F5">
        <w:rPr>
          <w:rFonts w:asciiTheme="majorHAnsi" w:hAnsiTheme="majorHAnsi" w:cstheme="majorHAnsi"/>
          <w:vertAlign w:val="superscript"/>
        </w:rPr>
        <w:footnoteReference w:id="3"/>
      </w:r>
    </w:p>
    <w:p w14:paraId="7D87711F" w14:textId="77777777" w:rsidR="00E440CE" w:rsidRPr="005827F5" w:rsidRDefault="003422A9">
      <w:pPr>
        <w:jc w:val="both"/>
        <w:rPr>
          <w:rFonts w:asciiTheme="majorHAnsi" w:hAnsiTheme="majorHAnsi" w:cstheme="majorHAnsi"/>
        </w:rPr>
      </w:pPr>
      <w:r w:rsidRPr="005827F5">
        <w:rPr>
          <w:rFonts w:asciiTheme="majorHAnsi" w:hAnsiTheme="majorHAnsi" w:cstheme="majorHAnsi"/>
        </w:rPr>
        <w:t xml:space="preserve">Poseban značaj za operativno okruženje u kojem posluju sujekti male privrede predstavlja digitalizacija javnih usluga, oblast i proces koji je, kao i brojni drugi, usložnjen u BiH uslijed kompleksnog administrativnog ustrojstva zemlje, što posebno utiče na online registraciju poslovnih poduhvata uslijed nemogućnosti korištenja elektronskog potpisa. </w:t>
      </w:r>
    </w:p>
    <w:p w14:paraId="500BAEA4" w14:textId="77777777" w:rsidR="00E440CE" w:rsidRPr="005827F5" w:rsidRDefault="003422A9">
      <w:pPr>
        <w:shd w:val="clear" w:color="auto" w:fill="FFFFFF"/>
        <w:spacing w:after="240"/>
        <w:jc w:val="both"/>
        <w:rPr>
          <w:rFonts w:asciiTheme="majorHAnsi" w:hAnsiTheme="majorHAnsi" w:cstheme="majorHAnsi"/>
        </w:rPr>
      </w:pPr>
      <w:r w:rsidRPr="005827F5">
        <w:rPr>
          <w:rFonts w:asciiTheme="majorHAnsi" w:hAnsiTheme="majorHAnsi" w:cstheme="majorHAnsi"/>
        </w:rPr>
        <w:t xml:space="preserve">Na nivou Federacije BiH registracija poslovnih subjekata (sud, gradski/općinski organi uprave)  vrši se od strane nekoliko instituacija u ovisnosti od oblika registracije. U svrhu uspostave jednošalterskog sistema registracije poslovanja odnosno objedinjavanja procesa na nivou jedne institucije prema krajnjim korisnicima - fizičkim i pravnim licima koji žele </w:t>
      </w:r>
      <w:r w:rsidRPr="005827F5">
        <w:rPr>
          <w:rFonts w:asciiTheme="majorHAnsi" w:hAnsiTheme="majorHAnsi" w:cstheme="majorHAnsi"/>
        </w:rPr>
        <w:lastRenderedPageBreak/>
        <w:t xml:space="preserve">registrovati poslovanje Vlada Federacije BiH je u 2022. godini zadužila Finansijsku informativnu agenciju (FIA) da preuzme savjetodavnu i vodeću ulogu u postupku uspostave mehanizma jednošalterskog sistema poslovanja, uz asistenciju Vlade FBiH u pogledu neophodnih resursa. S tim u vezi, zadužene su i institucije koje trebaju pokrenuti postupke izmjene Zakona o FIA-i, Zakona o registraciji poslovnih subjekata FBiH kako bi se omogućila osnova za uspostavu navedenog sistema. </w:t>
      </w:r>
    </w:p>
    <w:p w14:paraId="53876EE2" w14:textId="77777777" w:rsidR="00E440CE" w:rsidRPr="00ED7B99" w:rsidRDefault="003422A9">
      <w:pPr>
        <w:pBdr>
          <w:top w:val="nil"/>
          <w:left w:val="nil"/>
          <w:bottom w:val="nil"/>
          <w:right w:val="nil"/>
          <w:between w:val="nil"/>
        </w:pBdr>
        <w:jc w:val="both"/>
        <w:rPr>
          <w:rFonts w:asciiTheme="majorHAnsi" w:hAnsiTheme="majorHAnsi" w:cstheme="majorHAnsi"/>
        </w:rPr>
      </w:pPr>
      <w:r w:rsidRPr="005827F5">
        <w:rPr>
          <w:rFonts w:asciiTheme="majorHAnsi" w:hAnsiTheme="majorHAnsi" w:cstheme="majorHAnsi"/>
        </w:rPr>
        <w:t>Strategija razvoja FBiH za period 2021-2027. kao prvi i jedan od akceleratora koji donose najveći razvojni efekat FBiH prepoznaje Inovacije i digitalizacije, pri čemu je u okviru Strateškog cilja 1 Ubrzan ekonomski razvoj, utvrđen Prioritet 1.1. Povećati digitaliziranost ekonomije, dok je poseban fokus u okviru Strateškog cilja 4. Transparentan, efikasan i odgovoran javni sektor stavljen na digitalizaciju javnih usluga kroz digitalizaciju javne uprave i  javnog sektora u okviru pripadajućih prioriteta i mjera. Jedna od planiranih aktivnosti jeste da FIA u narednom periodu objedini sve poslove  koji se odnose na</w:t>
      </w:r>
      <w:r w:rsidRPr="00ED7B99">
        <w:rPr>
          <w:rFonts w:asciiTheme="majorHAnsi" w:hAnsiTheme="majorHAnsi" w:cstheme="majorHAnsi"/>
        </w:rPr>
        <w:t xml:space="preserve"> informaciono - komunikacijske tehnologije federalnih ministarstava, federalnih organa uprave i federalnih upravnih organizacija, uključujući propratni proces digitalizacije.</w:t>
      </w:r>
    </w:p>
    <w:p w14:paraId="0DB5B5BD" w14:textId="77777777" w:rsidR="00E440CE" w:rsidRPr="005827F5" w:rsidRDefault="003422A9">
      <w:pPr>
        <w:pBdr>
          <w:top w:val="nil"/>
          <w:left w:val="nil"/>
          <w:bottom w:val="nil"/>
          <w:right w:val="nil"/>
          <w:between w:val="nil"/>
        </w:pBdr>
        <w:jc w:val="both"/>
        <w:rPr>
          <w:rFonts w:asciiTheme="majorHAnsi" w:hAnsiTheme="majorHAnsi" w:cstheme="majorHAnsi"/>
        </w:rPr>
      </w:pPr>
      <w:r w:rsidRPr="00ED7B99">
        <w:rPr>
          <w:rFonts w:asciiTheme="majorHAnsi" w:hAnsiTheme="majorHAnsi" w:cstheme="majorHAnsi"/>
        </w:rPr>
        <w:t>Uspostavljeni portal E-uprava Federacije Bosne i Hercegovine (</w:t>
      </w:r>
      <w:hyperlink r:id="rId10">
        <w:r w:rsidRPr="00ED7B99">
          <w:rPr>
            <w:rFonts w:asciiTheme="majorHAnsi" w:hAnsiTheme="majorHAnsi" w:cstheme="majorHAnsi"/>
          </w:rPr>
          <w:t>www.euprava.fbih.gov.ba</w:t>
        </w:r>
      </w:hyperlink>
      <w:r w:rsidRPr="00ED7B99">
        <w:rPr>
          <w:rFonts w:asciiTheme="majorHAnsi" w:hAnsiTheme="majorHAnsi" w:cstheme="majorHAnsi"/>
        </w:rPr>
        <w:t>) na jednom mjestu objedinjava e-servis za građane, na kojem posjetioci mogu pristupiti elektronskim uslugama federalnih organa uprave, upravnih organizacija i institucija,, kao i dobiti sve potrebne informacije o uslugama elektronske uprave. Trenutno raspoloživi su elektronski servisi Federalne uprave za geodetske i imovinsko-pravne poslove kao što je korištenje elektronskih usluga u oblasti premjera i katastra nekretnina (izdavanje kopije plana, prepis posjedovnog lista i zahtjev za cijepanje parcela). Modul „Registar administrativnih postupaka“ sadrži neophodne informacije o provedbi određenog administrativnog postupka na nivou federalnih organa uprave, uključujući propratne obrasce u elektronskoj formi, kao i mogućnost da posjetioci postave pitanja vezano za određene postupke. Generalni sekretarijat je obavezan da primljena pitanja, mišljenja i sugestije elektronskim putem proslijedi resornim organima uprave na razmatranje i davanje odgovora. Nadležni organ je obavezan elektronskim putem da u okviru svoje nadležnosti odgovori na postavljeno pitanje kroz administracijski dio aplikacije. Modul „E-Konsultacije“ pruža mogućnost da se na jednom mjestu osiguraju konsultacije zainteresirane javnosti sa federalnim organima uprave, federalnim upravnim organizacijama i institucijama u Federaciji Bosne i Hercegovine u postupku kreiranja javnih politika ili donošenja zakona i drugih propisa.</w:t>
      </w:r>
      <w:r w:rsidRPr="00ED7B99">
        <w:rPr>
          <w:rFonts w:asciiTheme="majorHAnsi" w:hAnsiTheme="majorHAnsi" w:cstheme="majorHAnsi"/>
          <w:vertAlign w:val="superscript"/>
        </w:rPr>
        <w:footnoteReference w:id="4"/>
      </w:r>
      <w:r w:rsidRPr="00ED7B99">
        <w:rPr>
          <w:rFonts w:asciiTheme="majorHAnsi" w:hAnsiTheme="majorHAnsi" w:cstheme="majorHAnsi"/>
        </w:rPr>
        <w:t xml:space="preserve"> Iako portal predstavlja značajan napredak u </w:t>
      </w:r>
      <w:r w:rsidRPr="005827F5">
        <w:rPr>
          <w:rFonts w:asciiTheme="majorHAnsi" w:hAnsiTheme="majorHAnsi" w:cstheme="majorHAnsi"/>
        </w:rPr>
        <w:t>dostupnosti informacija online, nažalost isti ne omogućava sprovođenje postupaka online. Stoga se, kao razvojna potreba ističe potreba za nastavkom digitalizacije javnih usluga, posebno omogućavanje sprovedbe postupaka od strane korisnika online.</w:t>
      </w:r>
    </w:p>
    <w:p w14:paraId="0F09BAC7" w14:textId="60349077" w:rsidR="00E440CE" w:rsidRPr="005827F5" w:rsidRDefault="003422A9">
      <w:pPr>
        <w:pBdr>
          <w:top w:val="nil"/>
          <w:left w:val="nil"/>
          <w:bottom w:val="nil"/>
          <w:right w:val="nil"/>
          <w:between w:val="nil"/>
        </w:pBdr>
        <w:jc w:val="both"/>
        <w:rPr>
          <w:rFonts w:asciiTheme="majorHAnsi" w:hAnsiTheme="majorHAnsi" w:cstheme="majorHAnsi"/>
          <w:color w:val="FF0000"/>
        </w:rPr>
      </w:pPr>
      <w:r w:rsidRPr="005827F5">
        <w:rPr>
          <w:rFonts w:asciiTheme="majorHAnsi" w:hAnsiTheme="majorHAnsi" w:cstheme="majorHAnsi"/>
        </w:rPr>
        <w:t xml:space="preserve">U svrhu osiguranja osnove za unapređenje digitaliziranosti procesa koji se odvijaju na nivou Federacije BiH, 2017. godien izrađen je nacrt Zakona o elektronskom potpisu FBiH, koji nažalost, još uvijek nije usvojen. Iako postoji dražvni Zakon o elektronskom potpisu, isti je donesen 2006. godine i nije usklađen sa EU regulativama. </w:t>
      </w:r>
    </w:p>
    <w:p w14:paraId="034F10BB"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Sa druge strane, Republika Srpska ima drugačiju legislativu vezano za elektronski potpis što preduzećima iz FBiH predstavlja administrativnu prepreku jer postoji potreba za </w:t>
      </w:r>
      <w:r w:rsidRPr="00ED7B99">
        <w:rPr>
          <w:rFonts w:asciiTheme="majorHAnsi" w:hAnsiTheme="majorHAnsi" w:cstheme="majorHAnsi"/>
        </w:rPr>
        <w:lastRenderedPageBreak/>
        <w:t>prilagodbom i posebnom dokumentacijom koju je neophodno prikupiti, uslijed neharmoniziranosti pristupa između dva entiteta.</w:t>
      </w:r>
    </w:p>
    <w:p w14:paraId="6A9AC5D4" w14:textId="77777777" w:rsidR="00E440CE" w:rsidRPr="00ED7B99" w:rsidRDefault="003422A9" w:rsidP="00936783">
      <w:pPr>
        <w:pStyle w:val="Heading3"/>
        <w:numPr>
          <w:ilvl w:val="2"/>
          <w:numId w:val="13"/>
        </w:numPr>
        <w:rPr>
          <w:rFonts w:asciiTheme="majorHAnsi" w:eastAsia="Calibri" w:hAnsiTheme="majorHAnsi" w:cstheme="majorHAnsi"/>
        </w:rPr>
      </w:pPr>
      <w:bookmarkStart w:id="16" w:name="_Toc117458921"/>
      <w:r w:rsidRPr="00ED7B99">
        <w:rPr>
          <w:rFonts w:asciiTheme="majorHAnsi" w:eastAsia="Calibri" w:hAnsiTheme="majorHAnsi" w:cstheme="majorHAnsi"/>
        </w:rPr>
        <w:t>Usluge podrške za MSP i firme u nastajanju (SBA dimenzija 5a)</w:t>
      </w:r>
      <w:bookmarkEnd w:id="16"/>
      <w:r w:rsidRPr="00ED7B99">
        <w:rPr>
          <w:rFonts w:asciiTheme="majorHAnsi" w:eastAsia="Calibri" w:hAnsiTheme="majorHAnsi" w:cstheme="majorHAnsi"/>
        </w:rPr>
        <w:t xml:space="preserve"> </w:t>
      </w:r>
    </w:p>
    <w:p w14:paraId="4EA43E61" w14:textId="77777777" w:rsidR="00E440CE" w:rsidRPr="00ED7B99" w:rsidRDefault="00E440CE">
      <w:pPr>
        <w:rPr>
          <w:rFonts w:asciiTheme="majorHAnsi" w:hAnsiTheme="majorHAnsi" w:cstheme="majorHAnsi"/>
        </w:rPr>
      </w:pPr>
    </w:p>
    <w:p w14:paraId="0DFA0122" w14:textId="77777777" w:rsidR="00E440CE" w:rsidRPr="005827F5" w:rsidRDefault="003422A9">
      <w:pPr>
        <w:jc w:val="both"/>
        <w:rPr>
          <w:rFonts w:asciiTheme="majorHAnsi" w:hAnsiTheme="majorHAnsi" w:cstheme="majorHAnsi"/>
        </w:rPr>
      </w:pPr>
      <w:r w:rsidRPr="00ED7B99">
        <w:rPr>
          <w:rFonts w:asciiTheme="majorHAnsi" w:hAnsiTheme="majorHAnsi" w:cstheme="majorHAnsi"/>
        </w:rPr>
        <w:t xml:space="preserve">Mala i srednja preduzeća vrlo često imaju manje menadžerske  i tehničko-operativne ekspertize kao i ograničeniji pristup tržištu i informacijama, u odnosu na velika preduzeća, što svakako može utjecati na njihov rast. Vrlo značajnu ulogu u podršci razvoju MSP-a pored finansijskih institucija, imaju pružaoci poslovnih usluga podrške, posebni od strane vladinih institucija. Osiguravanje pristupa kombinaciji finansijske i nefinansijske podrške, ključni je element trenutnog pristupa od strane donosilaca politika, pri čemu je COVID-19 pandemija ostavila negativne posljedice nai pristup finansijama kao i nefinansijskim uslugama podrške. Iako postoje određeni pomaci vezani za pružanje usluga poslovne podrške na nivou FBiH, subjekti male privrede i dalje ne percipiraju navedenu podršku kao dostupnu, što pokazuje istraživanje RCC-a, Balkan Barometar iz 2021., u kojem je 94% ispitanih preduzeća  iskazalo da nije primilo nikakvu vrstu podrške u periodu </w:t>
      </w:r>
      <w:r w:rsidRPr="005827F5">
        <w:rPr>
          <w:rFonts w:asciiTheme="majorHAnsi" w:hAnsiTheme="majorHAnsi" w:cstheme="majorHAnsi"/>
        </w:rPr>
        <w:t xml:space="preserve">2018.-2020. ukazujući na potrebu adekvatnije promocije dostupnih programa podrške i bolju koordinaciju i implementaciji istih. </w:t>
      </w:r>
    </w:p>
    <w:p w14:paraId="4B0A2C6C" w14:textId="77777777" w:rsidR="00E440CE" w:rsidRPr="00ED7B99" w:rsidRDefault="003422A9">
      <w:pPr>
        <w:jc w:val="both"/>
        <w:rPr>
          <w:rFonts w:asciiTheme="majorHAnsi" w:hAnsiTheme="majorHAnsi" w:cstheme="majorHAnsi"/>
        </w:rPr>
      </w:pPr>
      <w:r w:rsidRPr="005827F5">
        <w:rPr>
          <w:rFonts w:asciiTheme="majorHAnsi" w:hAnsiTheme="majorHAnsi" w:cstheme="majorHAnsi"/>
        </w:rPr>
        <w:t>Jedan od ključnih nedostataka u ovoj oblasti jeste što do sada nije urađena TNA (Training Needs Assessment) analiza, odnosno analiza potreba za obukama malih i srednjih preduzeća na nivou Federacije BiH niti pak procjena potreba za podrškom od strane MSP. Najveći udio finansijske i nefinansijske podrške za MSP još uvijek dolazi od strane međunarodnih donatora i projekata nevladinih organizacija - EU4Business, UNDP, ILO, Fondacija Impakt  i dr.,  pri čemu se FBiH u tom kontekstu najviše oslanja na eksternu podršku. Navedeno predstavlja značajan rizik neodrživosti sistema podrške uvažavajući da s uglavnom radi o donatorskim programima ograničenog vremena trajanja. Čak štaviše, sredstva za redovni godišnji program poticaja za subjekte male privrede na nivou Federacije BiH kojeg dodjeljuje Federalno ministarstvo  razvoja, poduzetništva i obrta su 2020. godine u potpunosti transferirana za program podrške sanaciji negativnih posljedica COVID 19 pandemije te programi podrške razvoju subjekata male privrede, koji pored finansijske imaju i segment nefinansijske podrške - mentoring usluge,  nisu bili implementirani skoro dvije godine. Inače, mentoring kao oblik podrške za razvoj subjekata male privrede, uspostavljen je kao usluga pdorške od strane FMRPO u saradnji sa JICA.</w:t>
      </w:r>
      <w:r w:rsidRPr="00ED7B99">
        <w:rPr>
          <w:rFonts w:asciiTheme="majorHAnsi" w:hAnsiTheme="majorHAnsi" w:cstheme="majorHAnsi"/>
        </w:rPr>
        <w:t xml:space="preserve"> </w:t>
      </w:r>
    </w:p>
    <w:p w14:paraId="6057187A" w14:textId="77777777" w:rsidR="00E440CE" w:rsidRPr="005827F5" w:rsidRDefault="003422A9">
      <w:pPr>
        <w:jc w:val="both"/>
        <w:rPr>
          <w:rFonts w:asciiTheme="majorHAnsi" w:hAnsiTheme="majorHAnsi" w:cstheme="majorHAnsi"/>
        </w:rPr>
      </w:pPr>
      <w:r w:rsidRPr="00ED7B99">
        <w:rPr>
          <w:rFonts w:asciiTheme="majorHAnsi" w:hAnsiTheme="majorHAnsi" w:cstheme="majorHAnsi"/>
        </w:rPr>
        <w:t>Pozitivan pomak i praksa u navedenom kontekstu desio se u dijelu praćenja i evaluacije uticaja programa podrške pri čemu je pored, sistema evaluacije i procjene uticaja na nivou Federacije BiH, uspostavljena baza dostupnih poticaja kao i korisnika poticaja kako bi se pratili postavljeni indikatori prilikom alokacije sredstava. Međutim</w:t>
      </w:r>
      <w:r w:rsidRPr="005827F5">
        <w:rPr>
          <w:rFonts w:asciiTheme="majorHAnsi" w:hAnsiTheme="majorHAnsi" w:cstheme="majorHAnsi"/>
        </w:rPr>
        <w:t xml:space="preserve">, još uvijek nisu uspostavljeni sistemi za osiguranje kvaliteta kao npr. sistem akreditacije za privatne konsultante - pružaoce poslovnih usluga podrške koje bi MSP koristili u okviru kofinansirajućih programa podrške. </w:t>
      </w:r>
    </w:p>
    <w:p w14:paraId="0852FA15" w14:textId="77777777" w:rsidR="00E440CE" w:rsidRPr="00ED7B99" w:rsidRDefault="003422A9">
      <w:pPr>
        <w:jc w:val="both"/>
        <w:rPr>
          <w:rFonts w:asciiTheme="majorHAnsi" w:hAnsiTheme="majorHAnsi" w:cstheme="majorHAnsi"/>
        </w:rPr>
      </w:pPr>
      <w:r w:rsidRPr="005827F5">
        <w:rPr>
          <w:rFonts w:asciiTheme="majorHAnsi" w:hAnsiTheme="majorHAnsi" w:cstheme="majorHAnsi"/>
        </w:rPr>
        <w:t>Već duži period postoje planovi za uspostavu Agencije za razvoj MSP na nivou FBiH, koja još uvijek nije uspostavljena a što je svakako jedan od prioriteta uvažavajući ograničene kapacite Federalnog ministarstva razvoja, poduzetništva i obrta.</w:t>
      </w:r>
      <w:r w:rsidR="00084231" w:rsidRPr="005827F5">
        <w:rPr>
          <w:rFonts w:asciiTheme="majorHAnsi" w:hAnsiTheme="majorHAnsi" w:cstheme="majorHAnsi"/>
        </w:rPr>
        <w:t xml:space="preserve"> </w:t>
      </w:r>
      <w:r w:rsidRPr="005827F5">
        <w:rPr>
          <w:rFonts w:asciiTheme="majorHAnsi" w:hAnsiTheme="majorHAnsi" w:cstheme="majorHAnsi"/>
        </w:rPr>
        <w:t>Dodatnu važnost realizaciji navedene aktivnosti i uspostavi  agencije predstavlja upravo uspostava jedinstvenog sistema</w:t>
      </w:r>
      <w:r w:rsidRPr="00ED7B99">
        <w:rPr>
          <w:rFonts w:asciiTheme="majorHAnsi" w:hAnsiTheme="majorHAnsi" w:cstheme="majorHAnsi"/>
        </w:rPr>
        <w:t xml:space="preserve"> </w:t>
      </w:r>
      <w:r w:rsidRPr="00ED7B99">
        <w:rPr>
          <w:rFonts w:asciiTheme="majorHAnsi" w:hAnsiTheme="majorHAnsi" w:cstheme="majorHAnsi"/>
        </w:rPr>
        <w:lastRenderedPageBreak/>
        <w:t>pružanja usluga podrške od strane vlasti, s obzirom da se navedena podrška trenutno pruža kroz koordinaciju sa 5 različitih regionalnih razvojnih agencija u FBiH.</w:t>
      </w:r>
    </w:p>
    <w:p w14:paraId="7250B179" w14:textId="77777777" w:rsidR="00E440CE" w:rsidRPr="00ED7B99" w:rsidRDefault="003422A9" w:rsidP="00936783">
      <w:pPr>
        <w:pStyle w:val="Heading3"/>
        <w:numPr>
          <w:ilvl w:val="2"/>
          <w:numId w:val="13"/>
        </w:numPr>
        <w:rPr>
          <w:rFonts w:asciiTheme="majorHAnsi" w:eastAsia="Calibri" w:hAnsiTheme="majorHAnsi" w:cstheme="majorHAnsi"/>
        </w:rPr>
      </w:pPr>
      <w:bookmarkStart w:id="17" w:name="_Toc117458922"/>
      <w:r w:rsidRPr="00ED7B99">
        <w:rPr>
          <w:rFonts w:asciiTheme="majorHAnsi" w:eastAsia="Calibri" w:hAnsiTheme="majorHAnsi" w:cstheme="majorHAnsi"/>
        </w:rPr>
        <w:t>Javne nabavke</w:t>
      </w:r>
      <w:bookmarkEnd w:id="17"/>
    </w:p>
    <w:p w14:paraId="1CB5517D" w14:textId="77777777" w:rsidR="00E440CE" w:rsidRPr="00ED7B99" w:rsidRDefault="00E440CE">
      <w:pPr>
        <w:rPr>
          <w:rFonts w:asciiTheme="majorHAnsi" w:hAnsiTheme="majorHAnsi" w:cstheme="majorHAnsi"/>
        </w:rPr>
      </w:pPr>
    </w:p>
    <w:p w14:paraId="7303FCDA" w14:textId="77777777" w:rsidR="00E440CE" w:rsidRPr="005827F5" w:rsidRDefault="003422A9">
      <w:pPr>
        <w:jc w:val="both"/>
        <w:rPr>
          <w:rFonts w:asciiTheme="majorHAnsi" w:hAnsiTheme="majorHAnsi" w:cstheme="majorHAnsi"/>
        </w:rPr>
      </w:pPr>
      <w:r w:rsidRPr="00ED7B99">
        <w:rPr>
          <w:rFonts w:asciiTheme="majorHAnsi" w:hAnsiTheme="majorHAnsi" w:cstheme="majorHAnsi"/>
        </w:rPr>
        <w:t xml:space="preserve">Lakoća pristup subjekata male privrede tržištu javnih nabavki može značajno utjecati na nihovu konkurentnost i dalji rast i razvoj na domaćem tržištu, te se kao jedna od preporuka u okviru Indeksa MSP politika za Zapadni Balkan kontinuirano definiše preporuka da se u procesu pripreme izmjena i dopuna Zakona o javnim nabavkama posebna pažnja treba posvetiti stanju i specifičnostima MSP-a na tržištu javnih nabavki, elementima koji bi unaprijedili sudjelovanje malih i srednjih preduzeća u postupcima javnih nabavki u Bosni i </w:t>
      </w:r>
      <w:r w:rsidRPr="005827F5">
        <w:rPr>
          <w:rFonts w:asciiTheme="majorHAnsi" w:hAnsiTheme="majorHAnsi" w:cstheme="majorHAnsi"/>
        </w:rPr>
        <w:t xml:space="preserve">Hercegovini. U augustu 2022. godine Doma naroda Parlamentarne skupštine Bosne i Hercegovine usvojio je  Zakon o izmjenama i dopunama Zakona o javnim nabavkama  čiji je predlagač Vijeće ministara BiH pri čemu je BiH  ispunila jedan od ključnih prioriteta u ispunjavanju pretpostavki u procesu pristupanja EU. Navedene izmjene i dopune Zakona donose niz pogodnosti za pristup MSP-a od podjele nabavki po lot-ovima, zajedničkih ponuda (konzorcija), do toga da omogućava podugovoranje trećih strana bez određivanja maksimalnog udjela podugovorenog dijela posla.  </w:t>
      </w:r>
    </w:p>
    <w:p w14:paraId="7B082C3B" w14:textId="77777777" w:rsidR="00E440CE" w:rsidRPr="005827F5" w:rsidRDefault="003422A9">
      <w:pPr>
        <w:jc w:val="both"/>
        <w:rPr>
          <w:rFonts w:asciiTheme="majorHAnsi" w:hAnsiTheme="majorHAnsi" w:cstheme="majorHAnsi"/>
        </w:rPr>
      </w:pPr>
      <w:r w:rsidRPr="005827F5">
        <w:rPr>
          <w:rFonts w:asciiTheme="majorHAnsi" w:hAnsiTheme="majorHAnsi" w:cstheme="majorHAnsi"/>
        </w:rPr>
        <w:t xml:space="preserve">Uspostavlejni portal za javne nabavke u BiH te pripadajuća mobilna aplikacija značajno su unaprijedili informativnu osnovu za krajnje korisnike odnosno ponuđače, ali se još uvijek ne nazire mogućnost elektronskog podnošenja ponuda na tendere, iako postoje primjeri gdje određeni ugovorni organi zahtjevaju elektronsko podnošenje ponuda ili iniciraju mogućnost podnošenja prijava elektronski ili pak korištenjem elektronskih aukcija u određenim slučajevima. </w:t>
      </w:r>
    </w:p>
    <w:p w14:paraId="0395C926" w14:textId="77777777" w:rsidR="00E440CE" w:rsidRPr="00ED7B99" w:rsidRDefault="003422A9">
      <w:pPr>
        <w:jc w:val="both"/>
        <w:rPr>
          <w:rFonts w:asciiTheme="majorHAnsi" w:hAnsiTheme="majorHAnsi" w:cstheme="majorHAnsi"/>
        </w:rPr>
      </w:pPr>
      <w:r w:rsidRPr="005827F5">
        <w:rPr>
          <w:rFonts w:asciiTheme="majorHAnsi" w:hAnsiTheme="majorHAnsi" w:cstheme="majorHAnsi"/>
        </w:rPr>
        <w:t>I   dalje regulatorni okvir zahtjeva formalni pristup u verifikaciji kvalifikacija ponuđača, pri čemu dokumenti koji se podnose za dokaz o kvalifikacijama moraju biti ili originalni ili pak ovjereni od strane nadležnih instuticija (gradskih/općinskih organa uprave ili notara), što predstavlja značajno opterećenje finansijsko i proceduralno, posebno za mala i srednja preduzeća.</w:t>
      </w:r>
      <w:r w:rsidRPr="00ED7B99">
        <w:rPr>
          <w:rFonts w:asciiTheme="majorHAnsi" w:hAnsiTheme="majorHAnsi" w:cstheme="majorHAnsi"/>
        </w:rPr>
        <w:t xml:space="preserve"> </w:t>
      </w:r>
    </w:p>
    <w:p w14:paraId="24527812" w14:textId="77777777" w:rsidR="00E440CE" w:rsidRPr="00ED7B99" w:rsidRDefault="003422A9" w:rsidP="00936783">
      <w:pPr>
        <w:pStyle w:val="Heading3"/>
        <w:numPr>
          <w:ilvl w:val="2"/>
          <w:numId w:val="13"/>
        </w:numPr>
        <w:rPr>
          <w:rFonts w:asciiTheme="majorHAnsi" w:eastAsia="Calibri" w:hAnsiTheme="majorHAnsi" w:cstheme="majorHAnsi"/>
        </w:rPr>
      </w:pPr>
      <w:bookmarkStart w:id="18" w:name="_Toc117458923"/>
      <w:r w:rsidRPr="00ED7B99">
        <w:rPr>
          <w:rFonts w:asciiTheme="majorHAnsi" w:eastAsia="Calibri" w:hAnsiTheme="majorHAnsi" w:cstheme="majorHAnsi"/>
        </w:rPr>
        <w:t>Pristup MSP finansijskim uslugama i izvorima finansiranja u FBiH (dimenzija 6)</w:t>
      </w:r>
      <w:bookmarkEnd w:id="18"/>
      <w:r w:rsidRPr="00ED7B99">
        <w:rPr>
          <w:rFonts w:asciiTheme="majorHAnsi" w:eastAsia="Calibri" w:hAnsiTheme="majorHAnsi" w:cstheme="majorHAnsi"/>
        </w:rPr>
        <w:t xml:space="preserve"> </w:t>
      </w:r>
    </w:p>
    <w:p w14:paraId="0AD50609" w14:textId="77777777" w:rsidR="00E440CE" w:rsidRPr="00ED7B99" w:rsidRDefault="00E440CE">
      <w:pPr>
        <w:rPr>
          <w:rFonts w:asciiTheme="majorHAnsi" w:hAnsiTheme="majorHAnsi" w:cstheme="majorHAnsi"/>
        </w:rPr>
      </w:pPr>
    </w:p>
    <w:p w14:paraId="2955434A" w14:textId="77777777" w:rsidR="00E440CE" w:rsidRPr="00ED7B99" w:rsidRDefault="003422A9">
      <w:pPr>
        <w:pBdr>
          <w:top w:val="nil"/>
          <w:left w:val="nil"/>
          <w:bottom w:val="nil"/>
          <w:right w:val="nil"/>
          <w:between w:val="nil"/>
        </w:pBdr>
        <w:jc w:val="both"/>
        <w:rPr>
          <w:rFonts w:asciiTheme="majorHAnsi" w:hAnsiTheme="majorHAnsi" w:cstheme="majorHAnsi"/>
        </w:rPr>
      </w:pPr>
      <w:r w:rsidRPr="00ED7B99">
        <w:rPr>
          <w:rFonts w:asciiTheme="majorHAnsi" w:hAnsiTheme="majorHAnsi" w:cstheme="majorHAnsi"/>
        </w:rPr>
        <w:t xml:space="preserve">Pristup finansijama jedan od je ključnih uslova poduzetničkog okvira za subjekte male privrede, a ujedno jedna od oblasti i barijera za poslovanje koje se u BiH ističu kao jedan od najznačajnijih. Naime, ovo se posebno odnosi na obrte i srodne djelatnosti koji se prema svom obliku smatraju fizičkim licima te stoga predstavljaju dosta veći rizik za kreditora i donatore u odnosu na privredna društva. Pristup finansijama posebno je dobio na značaju tokom COVID 19 pandemije kada su se, posebno subjekti male privrede, suočili sa problemima osiguranja likvidnosti i solventnosti. Na nivou BiH sprovedene su određene aktivnosti na harmonizaciji propisi i superviziji nad bankarskim sektorom, ali i dalje je prisutna nedostak koordinacije na nivou entiteta, time i Federacije BiH, te upravo nedostatak supervizije nad bankarskim sektorom predstavlja rizik njegove dugoročne stabilnosti i osiguranja efikasnih mehanizama kreditiranja i osiguranja finansijskih sredstava za rast i razvoj sektora male privrede u FBiH. </w:t>
      </w:r>
    </w:p>
    <w:p w14:paraId="47033451" w14:textId="77777777" w:rsidR="00E440CE" w:rsidRPr="00ED7B99" w:rsidRDefault="003422A9">
      <w:pPr>
        <w:pBdr>
          <w:top w:val="nil"/>
          <w:left w:val="nil"/>
          <w:bottom w:val="nil"/>
          <w:right w:val="nil"/>
          <w:between w:val="nil"/>
        </w:pBdr>
        <w:jc w:val="both"/>
        <w:rPr>
          <w:rFonts w:asciiTheme="majorHAnsi" w:hAnsiTheme="majorHAnsi" w:cstheme="majorHAnsi"/>
        </w:rPr>
      </w:pPr>
      <w:r w:rsidRPr="00ED7B99">
        <w:rPr>
          <w:rFonts w:asciiTheme="majorHAnsi" w:hAnsiTheme="majorHAnsi" w:cstheme="majorHAnsi"/>
        </w:rPr>
        <w:lastRenderedPageBreak/>
        <w:t>Na nivou Federacije BiH postoji Sarajevska berza koja je članica regionalne SEE link. Nažalost, Sarajevska berza ne nudi poseban listing za manja preduzeća. U 2019. godini Komisija za vrijednosne papire Federacije BiH je izgubila neke od svojih članova, te nije mogla obavljati redovne zadatke što je dovelo do privremenog zaustavljanja glavnih operaciju na tržištu kapaitala, sve do  imenovanja novih članova 2021. godine.</w:t>
      </w:r>
    </w:p>
    <w:p w14:paraId="60FAD75F" w14:textId="77777777" w:rsidR="00E440CE" w:rsidRPr="00ED7B99" w:rsidRDefault="003422A9">
      <w:pPr>
        <w:pBdr>
          <w:top w:val="nil"/>
          <w:left w:val="nil"/>
          <w:bottom w:val="nil"/>
          <w:right w:val="nil"/>
          <w:between w:val="nil"/>
        </w:pBdr>
        <w:jc w:val="both"/>
        <w:rPr>
          <w:rFonts w:asciiTheme="majorHAnsi" w:hAnsiTheme="majorHAnsi" w:cstheme="majorHAnsi"/>
        </w:rPr>
      </w:pPr>
      <w:r w:rsidRPr="00ED7B99">
        <w:rPr>
          <w:rFonts w:asciiTheme="majorHAnsi" w:hAnsiTheme="majorHAnsi" w:cstheme="majorHAnsi"/>
        </w:rPr>
        <w:t xml:space="preserve">Kreditno finansiranje i dalje je preovladavajući eksterni izvor finansiranja subjekata male privrede u Federaciji BiH. Uz 23 banke na malom tržištu kakva je BiH, ponuda kredita je značajna, a banke su, koliko je to bile moguće,  doprinijele osiguranju likvidnosti i stabilnosti poslovanja privrednih subjekata u FBiH u periodu COVID 19 pandemije. Značajan izvor finansiranja za subjekte male privrede na nivou FBiH predstavlja Razvojna banka Federacije BiH koja nudi kredite sa povoljnim uslovima za privredne subjekte u FBiH. Kao rezultat mjera definisanih u Strategiji razvoja FBiH za period 2021.-2027. Razvojna banka FBiH u 2021. godini uvela </w:t>
      </w:r>
      <w:r w:rsidRPr="005827F5">
        <w:rPr>
          <w:rFonts w:asciiTheme="majorHAnsi" w:hAnsiTheme="majorHAnsi" w:cstheme="majorHAnsi"/>
        </w:rPr>
        <w:t>je nove kreditne linije usmjerene na podršku digitalizaciji,  podršku turističkom sektoru u FBiH te energetsku efikasnost. Postoje i posebne linije usmjerene isklučjivo na obrtnike, za izvoznike i slično. Kao odgovor na teškoće sa kojima su se suočili privredni subjekti u FBiH tokom COVID 19 pandemije Vlada Federacije Bosne i Hercegovine je 2020. godine uspostvila Garancijski fond sa portfolijem od 100.000.000 KM te donijela odluke o usvajanju kreditno-garantnih programa Garancijskog fonda, i to: kreditno-garantni program za poljoprivredu i prehrambenu industriju; kreditno-garantni program za mikro, mala i srednja preduzeća; kreditno-garantni program za obrtnike i ostale samostalne privredne djelatnosti; kreditno-garantni program za izvoznike te kreditno-garantni program za velika preduzeća.</w:t>
      </w:r>
      <w:r w:rsidRPr="00ED7B99">
        <w:rPr>
          <w:rFonts w:asciiTheme="majorHAnsi" w:hAnsiTheme="majorHAnsi" w:cstheme="majorHAnsi"/>
        </w:rPr>
        <w:t xml:space="preserve"> </w:t>
      </w:r>
    </w:p>
    <w:p w14:paraId="12255073" w14:textId="77777777" w:rsidR="00E440CE" w:rsidRPr="00ED7B99" w:rsidRDefault="003422A9">
      <w:pPr>
        <w:pBdr>
          <w:top w:val="nil"/>
          <w:left w:val="nil"/>
          <w:bottom w:val="nil"/>
          <w:right w:val="nil"/>
          <w:between w:val="nil"/>
        </w:pBdr>
        <w:jc w:val="both"/>
        <w:rPr>
          <w:rFonts w:asciiTheme="majorHAnsi" w:hAnsiTheme="majorHAnsi" w:cstheme="majorHAnsi"/>
        </w:rPr>
      </w:pPr>
      <w:r w:rsidRPr="00ED7B99">
        <w:rPr>
          <w:rFonts w:asciiTheme="majorHAnsi" w:hAnsiTheme="majorHAnsi" w:cstheme="majorHAnsi"/>
        </w:rPr>
        <w:t xml:space="preserve">Kako bi se potakli i alternativni izvori finansiranja i regulatorno uredila ova oblast u Federaciji BiH je izrađen nacrt Zakona o mikrokreditnim organizacijama FBiH koji još uvijek nije usvojen. </w:t>
      </w:r>
    </w:p>
    <w:p w14:paraId="62C36729" w14:textId="5C91C253" w:rsidR="00E440CE" w:rsidRPr="00ED7B99" w:rsidRDefault="003422A9">
      <w:pPr>
        <w:jc w:val="both"/>
        <w:rPr>
          <w:rFonts w:asciiTheme="majorHAnsi" w:hAnsiTheme="majorHAnsi" w:cstheme="majorHAnsi"/>
        </w:rPr>
      </w:pPr>
      <w:r w:rsidRPr="00ED7B99">
        <w:rPr>
          <w:rFonts w:asciiTheme="majorHAnsi" w:hAnsiTheme="majorHAnsi" w:cstheme="majorHAnsi"/>
        </w:rPr>
        <w:t>Četiri leasing kompanije u BiH se nalaze na teritoriji FBiH sa portfoliom aktivnosti od oko 117 miliona KM na g</w:t>
      </w:r>
      <w:r w:rsidR="00F723AA" w:rsidRPr="00ED7B99">
        <w:rPr>
          <w:rFonts w:asciiTheme="majorHAnsi" w:hAnsiTheme="majorHAnsi" w:cstheme="majorHAnsi"/>
        </w:rPr>
        <w:t>o</w:t>
      </w:r>
      <w:r w:rsidRPr="00ED7B99">
        <w:rPr>
          <w:rFonts w:asciiTheme="majorHAnsi" w:hAnsiTheme="majorHAnsi" w:cstheme="majorHAnsi"/>
        </w:rPr>
        <w:t xml:space="preserve">dišnjem nivou. Vlasničko ili tzv. equity finansiranje je dostupno </w:t>
      </w:r>
      <w:r w:rsidR="00F723AA" w:rsidRPr="00ED7B99">
        <w:rPr>
          <w:rFonts w:asciiTheme="majorHAnsi" w:hAnsiTheme="majorHAnsi" w:cstheme="majorHAnsi"/>
        </w:rPr>
        <w:t>u vrlo malom obimu</w:t>
      </w:r>
      <w:r w:rsidRPr="00ED7B99">
        <w:rPr>
          <w:rFonts w:asciiTheme="majorHAnsi" w:hAnsiTheme="majorHAnsi" w:cstheme="majorHAnsi"/>
        </w:rPr>
        <w:t xml:space="preserve"> (npr. investicioni program Fondacije Mozaik) ali se i dalje radi o vrlo niskom nivou tzv. equity finansiranja s obzirom na visok stepen nepovjerenja vlasnika prirvednih društava vezano za navedeni vid finansiranja ujedno uslijed i nedovoljnog nivoa zaštite prava kako investitora tako i  vlasnika privrednih društava u FBiH. Nažalost, fondovi rizičnog kapaitala ne postoje, dok iako je postojalo nekoliko inicijativa u proteklom periodu za uspostavu mreža poslovnih anđela, iste nikada nisu zaživjele na adekvatnom nivou. Sa druge strane postoje brojne mogućnosti za navedeno investiranje ali i finansiranje u preduzeća u start up fazi i preduzeća sa potencijalom, posebno od strane članova bh. dijaspore te se kao razvojna potreba ističe potreba daljeg unapređenja regulatornog okvira za navedene vidove finansiranja, poticanja uspostave fondova ali i promocije ove vrste finansiranja kod postojećih  i potencijalnih poduzetnika u FBiH. Uz navedeno ne postoje ni inicijative koje promovišu finansijsku pismenost i finansijske obuke među MSP, te se finansijska pismenost uglavnom izučava u okviru obuka koje se sprovode  kroz različite programe podrške razvoju poduzetništva kakav je npr. IMPAKT inkubator poslovnih ideja Fondacije Impakt. </w:t>
      </w:r>
    </w:p>
    <w:p w14:paraId="7D598681" w14:textId="77777777" w:rsidR="00E440CE" w:rsidRPr="00ED7B99" w:rsidRDefault="003422A9" w:rsidP="00936783">
      <w:pPr>
        <w:pStyle w:val="Heading3"/>
        <w:numPr>
          <w:ilvl w:val="2"/>
          <w:numId w:val="13"/>
        </w:numPr>
        <w:rPr>
          <w:rFonts w:asciiTheme="majorHAnsi" w:eastAsia="Calibri" w:hAnsiTheme="majorHAnsi" w:cstheme="majorHAnsi"/>
        </w:rPr>
      </w:pPr>
      <w:bookmarkStart w:id="19" w:name="_Toc117458924"/>
      <w:r w:rsidRPr="00ED7B99">
        <w:rPr>
          <w:rFonts w:asciiTheme="majorHAnsi" w:eastAsia="Calibri" w:hAnsiTheme="majorHAnsi" w:cstheme="majorHAnsi"/>
        </w:rPr>
        <w:t>Standardi i tehnička regulativa (SBA dimenzija 7)</w:t>
      </w:r>
      <w:bookmarkEnd w:id="19"/>
    </w:p>
    <w:p w14:paraId="6E89F14E" w14:textId="77777777" w:rsidR="00E440CE" w:rsidRPr="00ED7B99" w:rsidRDefault="00E440CE">
      <w:pPr>
        <w:rPr>
          <w:rFonts w:asciiTheme="majorHAnsi" w:hAnsiTheme="majorHAnsi" w:cstheme="majorHAnsi"/>
        </w:rPr>
      </w:pPr>
    </w:p>
    <w:p w14:paraId="3CFB33A6"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Za dalji razvoj male privrede u Federaciji BiH od izuzetnog značaja je pružiti podršku izvozno-orjentisanim preduzećima sa posebnim naglaskom na tehničke standarde. Nažalost, u Bosni i Hercegovini još uvijek nema </w:t>
      </w:r>
      <w:bookmarkStart w:id="20" w:name="_Hlk115294341"/>
      <w:r w:rsidRPr="00ED7B99">
        <w:rPr>
          <w:rFonts w:asciiTheme="majorHAnsi" w:hAnsiTheme="majorHAnsi" w:cstheme="majorHAnsi"/>
        </w:rPr>
        <w:t xml:space="preserve">jedinstvene strategije o infrastrukturi za kvalitet niti </w:t>
      </w:r>
      <w:r w:rsidRPr="00ED7B99">
        <w:rPr>
          <w:rFonts w:asciiTheme="majorHAnsi" w:hAnsiTheme="majorHAnsi" w:cstheme="majorHAnsi"/>
        </w:rPr>
        <w:lastRenderedPageBreak/>
        <w:t xml:space="preserve">implementacije mehanizma koordinacije između različitih nivoa </w:t>
      </w:r>
      <w:bookmarkEnd w:id="20"/>
      <w:r w:rsidRPr="00ED7B99">
        <w:rPr>
          <w:rFonts w:asciiTheme="majorHAnsi" w:hAnsiTheme="majorHAnsi" w:cstheme="majorHAnsi"/>
        </w:rPr>
        <w:t>vlasti u ovom segmentu. Također, ni na nivou Federacije Bosne i Hercegovine ne postoji strategija infrastrukture kvalitete proizvoda i usluga u kontekstu preuzimanja i primjene pravne tekovine EU u oblasti slobodnog kretanja roba. Od izuzetnog bi značaja za razvoj ove značajne oblasti za mala i srednja preduzeća bila i uspostava  centraliziranog portala sa svim relevantnom horizontalnim i/ili sektorskim propisima kao i informacijama o standardima i uslovima u  procesu standardizacije za preduzeća koja su zainteresovana za izvoz u EU, koji još uvijek nije iniciran kako na državnom tako ni na federalnom nivou. Kada određena preduzeće želi uvesti određeni standrad i certificirati se za proces standardizacije kvalitete te se, između ostalog, pripremiti za izvoz u EU, primorani su tragati za infromacijama iz različitih izvora, što zasigurno predstavlja razvojnu barijeru i opeterećenje u poslovanju. Na web portalu Instituta za standardizaciju BiH moguće je izvršit online kupovinu standarda ili pak online čitati standarde.</w:t>
      </w:r>
    </w:p>
    <w:p w14:paraId="0BF939F4"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Također, tehnički propisi se ne primjenjuju jedinstveno na nivou BiH te na nivou BiH ne postoji online dostupna lista svih važećih propisa sa njihovom pravnom osnovom i standardima za koje se vežu, a posebno ne sa informacijom koji od njih su usklađeni sa EU regulativama a koji ne, te koje su neophodne procedure usklađivanja u odnosu na poslovanje u BiH da bi se pristupila Jedinstvenom trištu EU. Za praktičnu implikaciju ove razvojne barijere moguće je navesti da preduzeća moraju prilagoditi svoje procedure za proizvode koje prodaju na lokalnom tržištu i one koje žele izvoziti u EU, što dovodi i do toga da proizvodi koje prodaju na lokalnom tržištu nisu usklađeni sa EU propisima.  Ovo svakako predstavlja posebnu barijeru za dalji razvoj subjekata male privrede i na nivou FBiH.</w:t>
      </w:r>
    </w:p>
    <w:p w14:paraId="73310687" w14:textId="77777777" w:rsidR="00E440CE" w:rsidRPr="005827F5" w:rsidRDefault="003422A9">
      <w:pPr>
        <w:jc w:val="both"/>
        <w:rPr>
          <w:rFonts w:asciiTheme="majorHAnsi" w:hAnsiTheme="majorHAnsi" w:cstheme="majorHAnsi"/>
        </w:rPr>
      </w:pPr>
      <w:r w:rsidRPr="00ED7B99">
        <w:rPr>
          <w:rFonts w:asciiTheme="majorHAnsi" w:hAnsiTheme="majorHAnsi" w:cstheme="majorHAnsi"/>
        </w:rPr>
        <w:t xml:space="preserve">Mjeriiteljstvo, kao značajan dio infrastrukture kvaliteta je na nivou Federacije BiH u nadežnosti Zavoda za mjeriteljstvo FBiH kao i Instituta za metrologiju BiH te je sistem za metrologiju u FBiH baziran na Međunarodnom sistemu mjernih jedinica i u značajnoj mjeri usaglašen sa EU trendovima u oblasti metrologije. Međutim, jedan od ključnih nedostataka u ovom aspektu jeste nedostatak ljudskih i tehničkih kapaciteta za ocjenjivanje usaglašenosti, zbog čega se za ocjenjivanje usaglašenosti proizvoda odnosno za ispitivanje i certifikaciju, kao i ocjenjivanje usaglašenosti  sistema koriste usluge tijela iz zemalja okruženja ili pak EU, te se kao razvojna potreba svakako nameće potrebe poticanja osnivanja i kapacitiranja ovih tijela na nivou FBiH. Ukoliko se </w:t>
      </w:r>
      <w:r w:rsidRPr="005827F5">
        <w:rPr>
          <w:rFonts w:asciiTheme="majorHAnsi" w:hAnsiTheme="majorHAnsi" w:cstheme="majorHAnsi"/>
        </w:rPr>
        <w:t>pak posmatra oblast akreditacije, ista je u nadležnosti Instituta za akreditovanje BiH (BATA), dok tijela za ocjenjivanje usglašenosti proizvoda na nivou FBiH prije nego budu imenovana, dužna su posjedovati dokaz o sprovedenoj akreditaciji od strane BATA-e ili drugog referentnog akreditacionog tijela koje je međunarodno priznato.</w:t>
      </w:r>
    </w:p>
    <w:p w14:paraId="3AD44E6C" w14:textId="1F417FF3" w:rsidR="00E440CE" w:rsidRPr="00ED7B99" w:rsidRDefault="003422A9">
      <w:pPr>
        <w:jc w:val="both"/>
        <w:rPr>
          <w:rFonts w:asciiTheme="majorHAnsi" w:hAnsiTheme="majorHAnsi" w:cstheme="majorHAnsi"/>
        </w:rPr>
      </w:pPr>
      <w:r w:rsidRPr="005827F5">
        <w:rPr>
          <w:rFonts w:asciiTheme="majorHAnsi" w:hAnsiTheme="majorHAnsi" w:cstheme="majorHAnsi"/>
        </w:rPr>
        <w:t>Financijska podrška za provedbu standarda pruža se na entitetskom nivou. Federacija Bosne i Hercegovine podržava uvođenje međunarodnih standarda kvaliteta (HASAP, HALAL, uvođenje CE znaka) kroz godišnje grantove. Godine 2016. od strane Federalnog ministarstva razvoja, poduzetništva i obrta podržano je ukupno 32 MSP u okviru programa poticaja Tehničko usklađivanje (uvođenje ISO, HACCAP standarda i osiguranje CE znaka) sa iznosom od 217.800 KM. U narednim godinama, uključujući i 2022. godinu  Ministarstvo je podržavalo tehničko usklađivanje kroz program Jačanje konkuretnosti MSP</w:t>
      </w:r>
      <w:r w:rsidR="005B52DB" w:rsidRPr="005827F5">
        <w:rPr>
          <w:rFonts w:asciiTheme="majorHAnsi" w:hAnsiTheme="majorHAnsi" w:cstheme="majorHAnsi"/>
        </w:rPr>
        <w:t xml:space="preserve">. </w:t>
      </w:r>
      <w:r w:rsidRPr="005827F5">
        <w:rPr>
          <w:rFonts w:asciiTheme="majorHAnsi" w:hAnsiTheme="majorHAnsi" w:cstheme="majorHAnsi"/>
        </w:rPr>
        <w:t>Ovdje je potrebno napomenuti da 2020. godine Ministarstvo nije implementiralo program poticaja s obzirom da su</w:t>
      </w:r>
      <w:r w:rsidRPr="00ED7B99">
        <w:rPr>
          <w:rFonts w:asciiTheme="majorHAnsi" w:hAnsiTheme="majorHAnsi" w:cstheme="majorHAnsi"/>
        </w:rPr>
        <w:t xml:space="preserve"> sredstva na budžetskoj poziciji namijenjenoj godišnjim poticajima FMRPO bila usmjerena na sanaciju negativnih posljedica COVID 19 pandemije. Podršku tehničkom usklađivanju i standardizaciji pružaju i međunarodni donatori u BiH, kao što je npr. </w:t>
      </w:r>
      <w:r w:rsidRPr="00ED7B99">
        <w:rPr>
          <w:rFonts w:asciiTheme="majorHAnsi" w:hAnsiTheme="majorHAnsi" w:cstheme="majorHAnsi"/>
        </w:rPr>
        <w:lastRenderedPageBreak/>
        <w:t>EU4Business Recovery program, te je npr. 2022. godine u okviru projekta EU4AGRI, koji finansira Evropska unija, objavljen Javni poziv za dodjelu bespovratnih sredstava za mjeru podrške uvođenju standarda i certifikaciji u poljoprivredno-prehrambenoj proizvodnji. Međutim, i dalje postoji razvojna potreba kako za unapređenjem informisanosti i jačanja internih kapaciteta subjekata male privrede za uvođenjem standarda tako i za jačom finansijskom podrškom tehničkom usklađivanju, standardizaciji i certifikaciji. U ovom kontekstu je potrebno napomenuti i prednost  da je uvođenje standarda kvaliteta u BiH oslobođeno od poreza na dodanu vrijednost,  što predstavlja poticaj  za subjekte male privrede koji žele pristupiti certifikaciji.</w:t>
      </w:r>
    </w:p>
    <w:p w14:paraId="7DD155EE" w14:textId="2ED65D4D" w:rsidR="00E440CE" w:rsidRDefault="003422A9">
      <w:pPr>
        <w:spacing w:after="0"/>
        <w:jc w:val="both"/>
        <w:rPr>
          <w:rFonts w:asciiTheme="majorHAnsi" w:hAnsiTheme="majorHAnsi" w:cstheme="majorHAnsi"/>
        </w:rPr>
      </w:pPr>
      <w:r w:rsidRPr="00ED7B99">
        <w:rPr>
          <w:rFonts w:asciiTheme="majorHAnsi" w:hAnsiTheme="majorHAnsi" w:cstheme="majorHAnsi"/>
        </w:rPr>
        <w:t>Nadzor nad tržištem u BiH provode institucije na nivou BiH, FBiH, RS i BD BiH. Ukazuje se potreba za usklađivanjem zakonodavstva sa propisima EU kako bi se omogućio lakši protok roba i usluga između EU i BiH. Agencija za nadzor nad trištem Bosne i Hercegovine redovno nadzire tržište, objavljuje informacije o opasnim proizvodima, o proizvodima koji su povučeni sa tržišta i slično, ali se i dalje ukazuje potreba za jačanjem strateškog i planskog pristupa nad tržištem kako bi se doprinijelo harmoniziranom radu i naporima i doprinijelo uređenju navedene oblasti kako u BiH tako i entitetima i BD BiH.</w:t>
      </w:r>
      <w:r w:rsidRPr="00ED7B99">
        <w:rPr>
          <w:rFonts w:asciiTheme="majorHAnsi" w:hAnsiTheme="majorHAnsi" w:cstheme="majorHAnsi"/>
        </w:rPr>
        <w:tab/>
      </w:r>
    </w:p>
    <w:p w14:paraId="70C62C82" w14:textId="77777777" w:rsidR="005B52DB" w:rsidRPr="00ED7B99" w:rsidRDefault="005B52DB">
      <w:pPr>
        <w:spacing w:after="0"/>
        <w:jc w:val="both"/>
        <w:rPr>
          <w:rFonts w:asciiTheme="majorHAnsi" w:hAnsiTheme="majorHAnsi" w:cstheme="majorHAnsi"/>
        </w:rPr>
      </w:pPr>
    </w:p>
    <w:p w14:paraId="0BD5B63D" w14:textId="77777777" w:rsidR="00E440CE" w:rsidRPr="00ED7B99" w:rsidRDefault="003422A9" w:rsidP="00936783">
      <w:pPr>
        <w:pStyle w:val="Heading3"/>
        <w:numPr>
          <w:ilvl w:val="2"/>
          <w:numId w:val="13"/>
        </w:numPr>
        <w:rPr>
          <w:rFonts w:asciiTheme="majorHAnsi" w:eastAsia="Calibri" w:hAnsiTheme="majorHAnsi" w:cstheme="majorHAnsi"/>
        </w:rPr>
      </w:pPr>
      <w:bookmarkStart w:id="21" w:name="_Toc117458925"/>
      <w:r w:rsidRPr="00ED7B99">
        <w:rPr>
          <w:rFonts w:asciiTheme="majorHAnsi" w:eastAsia="Calibri" w:hAnsiTheme="majorHAnsi" w:cstheme="majorHAnsi"/>
        </w:rPr>
        <w:t>Poduzetničke vještine (SBA dimenzija 8a)</w:t>
      </w:r>
      <w:bookmarkEnd w:id="21"/>
    </w:p>
    <w:p w14:paraId="20BCEF58" w14:textId="77777777" w:rsidR="00E440CE" w:rsidRPr="00ED7B99" w:rsidRDefault="00E440CE">
      <w:pPr>
        <w:rPr>
          <w:rFonts w:asciiTheme="majorHAnsi" w:hAnsiTheme="majorHAnsi" w:cstheme="majorHAnsi"/>
        </w:rPr>
      </w:pPr>
    </w:p>
    <w:p w14:paraId="0B36CAC1" w14:textId="77777777" w:rsidR="00E440CE" w:rsidRPr="005827F5" w:rsidRDefault="003422A9">
      <w:pPr>
        <w:jc w:val="both"/>
        <w:rPr>
          <w:rFonts w:asciiTheme="majorHAnsi" w:hAnsiTheme="majorHAnsi" w:cstheme="majorHAnsi"/>
        </w:rPr>
      </w:pPr>
      <w:r w:rsidRPr="005827F5">
        <w:rPr>
          <w:rFonts w:asciiTheme="majorHAnsi" w:hAnsiTheme="majorHAnsi" w:cstheme="majorHAnsi"/>
        </w:rPr>
        <w:t xml:space="preserve">Nalazi svjetskih referentnih naučno-istraživačkih projekata ali i iskustva iz praksa ukazuju na pozitivnu korelaciju između poduzetništva i privrednog razvoja jedne zemlje. Europska komisija (2006) naglašava da se visok nivo razvijenosti poduzetništva može postići obrazovanjem, naročito kroz poduzetničko obrazovanje. Kvalitetna i motivisana radna snaga postala je jedna od ključnih konkuretsnkih prednosti preduzeća, što se posebno pokazalo tokom COVID 19 pandemije, te se ukazuje potreba za jačanjem kompetencija zaposlenih, posebno vezano za savremena znanja i vještine koje nameće sve veći stepen globalizacije. Za razliku od velikih preduzeća, mala i srednja preduzeća često se suočavaju sa ograničenjima vezanim za osiguranjem edukacija, stručnih usavršavanja i slično za vlastite zaposlenike, te se u BiH uglavnom oslanjaju na eksterne pružaoce usluga i vrlo često sporadične edukacije, koje nisu u skladu sa potrebnim nivooom sticanja znanja i jačanja vještina zaposlenih. Sa drudge strane, “in house” obuke, prilagođene potrebama preduzeća nisu u značajnoj mjeri prisutne, a vrlo čest uzrok navedenom je nepropoznavanje značaja navedenog od strane  menadžera MSP–a.  Uvažavajući promjenljive trendove u okruženju, sve veći stepen globalizacije i brzog tehnološkog razvoja, za subjekte male privrede u FBiH posebna razvojna potreba odnosi se na potrebu ulaganja u vještine, digitalizaciju i inovativnost kako bi se očuvala i dalje unaprijedila njihova konkurentnost na tržištu, podržao opstanak i njihov dalji rast i razvoj. Posebno aktuelan aspekt odnosi se na tzv. “ozelenjavanje” poslovanja za šta je neophodno jačati kompetencije ključnog osoblja unutar preduzeća kao i zaposlenika. </w:t>
      </w:r>
    </w:p>
    <w:p w14:paraId="500D020A" w14:textId="77777777" w:rsidR="00E440CE" w:rsidRPr="00ED7B99" w:rsidRDefault="003422A9">
      <w:pPr>
        <w:jc w:val="both"/>
        <w:rPr>
          <w:rFonts w:asciiTheme="majorHAnsi" w:hAnsiTheme="majorHAnsi" w:cstheme="majorHAnsi"/>
        </w:rPr>
      </w:pPr>
      <w:r w:rsidRPr="005827F5">
        <w:rPr>
          <w:rFonts w:asciiTheme="majorHAnsi" w:hAnsiTheme="majorHAnsi" w:cstheme="majorHAnsi"/>
        </w:rPr>
        <w:t>Jačanje i razvoj vještina kako stanovnika tako i unutar poslovnog sektora prepoznati su kao prioriteti unutar Strategije razvoja Federacije BiH. Strategija, između ostalog, definiše da je programima podrške poduzetničkoj infrastrukturi potrebno napraviti potpuni redizajn podrške razvoju preduzetništva i manjim preduzećima i podržati pristup cjeloživotnom učenju i vještinama, kako za poduzetnike, tako i za one koji planiraju osnovati preduzeće. Zatim da je potrebno osmisliti i intenzivirati nove obuke</w:t>
      </w:r>
      <w:r w:rsidRPr="00ED7B99">
        <w:rPr>
          <w:rFonts w:asciiTheme="majorHAnsi" w:hAnsiTheme="majorHAnsi" w:cstheme="majorHAnsi"/>
        </w:rPr>
        <w:t xml:space="preserve"> za prekvalifikaciju u IT/STEM sektor, stimulisati izdvajanja za neformalno obrazovanje i osigurati poreske olakšice za troškove </w:t>
      </w:r>
      <w:r w:rsidRPr="00ED7B99">
        <w:rPr>
          <w:rFonts w:asciiTheme="majorHAnsi" w:hAnsiTheme="majorHAnsi" w:cstheme="majorHAnsi"/>
        </w:rPr>
        <w:lastRenderedPageBreak/>
        <w:t>obrazovanja radnika i promociju programa učenja uz rad, te stažiranja, te da obuka i obrazovanje zaposlenih treba dobiti povećan koeficijent kao porezni odbitak.</w:t>
      </w:r>
    </w:p>
    <w:p w14:paraId="1E140EC1" w14:textId="77777777" w:rsidR="00E440CE" w:rsidRPr="005827F5" w:rsidRDefault="003422A9">
      <w:pPr>
        <w:jc w:val="both"/>
        <w:rPr>
          <w:rFonts w:asciiTheme="majorHAnsi" w:hAnsiTheme="majorHAnsi" w:cstheme="majorHAnsi"/>
        </w:rPr>
      </w:pPr>
      <w:r w:rsidRPr="00ED7B99">
        <w:rPr>
          <w:rFonts w:asciiTheme="majorHAnsi" w:hAnsiTheme="majorHAnsi" w:cstheme="majorHAnsi"/>
        </w:rPr>
        <w:t>Informacijska osnova o potrebnim vještinama na tržištu rada i stavovima poslodavaca vezane za potrebne vještine zaposlenih unaprijeđena je u proteklom periodu kroz EU Projekat “Istraživanje tržišta rada” . U okviru projekta, istraživanje tržišta rada u Federaciji BiH provodi se kao zajednička aktivnost Federalnog zavoda za zapošljavanje i kantonalnih službi za zapošljavanje u cilju dobijanja kvantitativnih i kvalitativnih podataka neophodnih za pružanje adekvatnih informacija o kretanjima na tržištu rada.</w:t>
      </w:r>
      <w:r w:rsidRPr="00ED7B99">
        <w:rPr>
          <w:rFonts w:asciiTheme="majorHAnsi" w:hAnsiTheme="majorHAnsi" w:cstheme="majorHAnsi"/>
          <w:vertAlign w:val="superscript"/>
        </w:rPr>
        <w:footnoteReference w:id="5"/>
      </w:r>
      <w:r w:rsidRPr="00ED7B99">
        <w:rPr>
          <w:rFonts w:asciiTheme="majorHAnsi" w:hAnsiTheme="majorHAnsi" w:cstheme="majorHAnsi"/>
        </w:rPr>
        <w:t xml:space="preserve"> Uz nalaze navedenog projekta, koriste se i nalaize Ankete o radnoj snazi na nivou BiH kao i drugi tematski specifični izvještaji te daju preporuke za donošenje </w:t>
      </w:r>
      <w:r w:rsidRPr="005827F5">
        <w:rPr>
          <w:rFonts w:asciiTheme="majorHAnsi" w:hAnsiTheme="majorHAnsi" w:cstheme="majorHAnsi"/>
        </w:rPr>
        <w:t xml:space="preserve">politika, ali je utisak da većina nalaza ostaje na nivou preporuke bez mnogo dokaza o implementiranim preporukama u praksi.  </w:t>
      </w:r>
    </w:p>
    <w:p w14:paraId="0286C2C8" w14:textId="77777777" w:rsidR="00E440CE" w:rsidRPr="005827F5" w:rsidRDefault="003422A9">
      <w:pPr>
        <w:jc w:val="both"/>
        <w:rPr>
          <w:rFonts w:asciiTheme="majorHAnsi" w:hAnsiTheme="majorHAnsi" w:cstheme="majorHAnsi"/>
        </w:rPr>
      </w:pPr>
      <w:r w:rsidRPr="005827F5">
        <w:rPr>
          <w:rFonts w:asciiTheme="majorHAnsi" w:hAnsiTheme="majorHAnsi" w:cstheme="majorHAnsi"/>
        </w:rPr>
        <w:t xml:space="preserve">Na nivou Federacije BiH za subjekte male privrede dostupni su brojni programi za sticanje vještina. Privredna komora FBiH nudi niz edukacija za svoje članove, koje se, uslijed COVID 19 pandemije, u najvećoj mjeri odvijaju online, a koji su dostupni i drugim subjektima, osim članica Komore, uz prethodnu registraciju na portal. Brojne nevladine organizacije i međunarodno finansirani donatorski programi, također, nude kako obuke za pokretanje biznisa tako i razvoj poslovanja, međutim ukazuje se potreba kvalitetnijeg praćenja i evaluacije dostupnih programa koja se sada sprovodi od strane svakog pružaoca obuke interno i pojedinačno. Postoje i primjeri programa koji podržavaju prekvalifikaciju i dokvalifikaciju zaposlenih ili pak omogućavaju stipendije za sticanja deficitarnih zanimanja, zasnovani na potrebama tržišta rada, ali se isti još uvijek ne koriste na adekvatnom nivou od strane poslodavaca i nezaposlenih osoba, što ukazuje na potrebu daljnje prilagodbe programa potrebama tržišta rada i unapređenja dijaloga između poslodavaca i institucija kod kreiranja programa podrške obrazovanju za unapređenje zapošljivosti. </w:t>
      </w:r>
    </w:p>
    <w:p w14:paraId="06EB1CC5" w14:textId="77777777" w:rsidR="00E440CE" w:rsidRPr="005827F5" w:rsidRDefault="003422A9">
      <w:pPr>
        <w:jc w:val="both"/>
        <w:rPr>
          <w:rFonts w:asciiTheme="majorHAnsi" w:hAnsiTheme="majorHAnsi" w:cstheme="majorHAnsi"/>
        </w:rPr>
      </w:pPr>
      <w:r w:rsidRPr="005827F5">
        <w:rPr>
          <w:rFonts w:asciiTheme="majorHAnsi" w:hAnsiTheme="majorHAnsi" w:cstheme="majorHAnsi"/>
        </w:rPr>
        <w:t>Na nivou Federacije BiH ne postoji jedinstveni online portal koji bi objedinio sve informacije o dostupnim obukama za subjekte male privrede, te je ograničeost pristupa informacija o navedenoj oblasti jedna od razvojnih prepreka, posebno s aspekta širine mogućnosti za jačanja kapaciteta MSP-a izvan tradicionalnih pružalaca obuka.</w:t>
      </w:r>
    </w:p>
    <w:p w14:paraId="04BB6832" w14:textId="77777777" w:rsidR="00E440CE" w:rsidRPr="00ED7B99" w:rsidRDefault="003422A9">
      <w:pPr>
        <w:jc w:val="both"/>
        <w:rPr>
          <w:rFonts w:asciiTheme="majorHAnsi" w:hAnsiTheme="majorHAnsi" w:cstheme="majorHAnsi"/>
        </w:rPr>
      </w:pPr>
      <w:r w:rsidRPr="005827F5">
        <w:rPr>
          <w:rFonts w:asciiTheme="majorHAnsi" w:hAnsiTheme="majorHAnsi" w:cstheme="majorHAnsi"/>
        </w:rPr>
        <w:t>Iako je još 2019. godine kroz formiranje Radne grupe za izradu Strategije pametna specijalizacije BiH započeo proces izrade navedene strategije, još uvijek nije učinjeno mnogo pomaka. Sa druge strane, pametna specijalizacija je prepoznata kao jedan od prioriteta u Strategiji razvoja Federacije BiH 2021-2027.</w:t>
      </w:r>
      <w:r w:rsidRPr="00ED7B99">
        <w:rPr>
          <w:rFonts w:asciiTheme="majorHAnsi" w:hAnsiTheme="majorHAnsi" w:cstheme="majorHAnsi"/>
        </w:rPr>
        <w:t xml:space="preserve"> te je time kroz trogodišnje i godišnje planiranje rada federalnih organa uprave operacionalizirana te se efekti mogu očekivati u narednom periodu. Pametna specijalizacija je prepoznata i kao prioritet EU i od strane durgih donatora finansiranih projekata u BiH koji finansiraju aktivnosti bazirane na navedenom principu, te se time kao razvojna potreba ukazuje potreba za jačanjem inormisanosti i iinternih kapaciteta subjekata male privrede u FBiH za primjenu navedenog pristupa u poslovanju njihovih poduhvata.</w:t>
      </w:r>
    </w:p>
    <w:p w14:paraId="1BC47D3C" w14:textId="77777777" w:rsidR="00E440CE" w:rsidRPr="00ED7B99" w:rsidRDefault="003422A9" w:rsidP="00936783">
      <w:pPr>
        <w:pStyle w:val="Heading3"/>
        <w:numPr>
          <w:ilvl w:val="2"/>
          <w:numId w:val="13"/>
        </w:numPr>
        <w:rPr>
          <w:rFonts w:asciiTheme="majorHAnsi" w:eastAsia="Calibri" w:hAnsiTheme="majorHAnsi" w:cstheme="majorHAnsi"/>
        </w:rPr>
      </w:pPr>
      <w:bookmarkStart w:id="22" w:name="_Toc117458926"/>
      <w:r w:rsidRPr="00ED7B99">
        <w:rPr>
          <w:rFonts w:asciiTheme="majorHAnsi" w:eastAsia="Calibri" w:hAnsiTheme="majorHAnsi" w:cstheme="majorHAnsi"/>
        </w:rPr>
        <w:t>Politika inovacija za MSP (dimenzija 8b)</w:t>
      </w:r>
      <w:bookmarkEnd w:id="22"/>
    </w:p>
    <w:p w14:paraId="5C052489" w14:textId="77777777" w:rsidR="00E440CE" w:rsidRPr="00ED7B99" w:rsidRDefault="00E440CE">
      <w:pPr>
        <w:rPr>
          <w:rFonts w:asciiTheme="majorHAnsi" w:hAnsiTheme="majorHAnsi" w:cstheme="majorHAnsi"/>
        </w:rPr>
      </w:pPr>
    </w:p>
    <w:p w14:paraId="4C578F62" w14:textId="3F874FEE" w:rsidR="00E440CE" w:rsidRPr="00ED7B99" w:rsidRDefault="003422A9">
      <w:pPr>
        <w:jc w:val="both"/>
        <w:rPr>
          <w:rFonts w:asciiTheme="majorHAnsi" w:hAnsiTheme="majorHAnsi" w:cstheme="majorHAnsi"/>
        </w:rPr>
      </w:pPr>
      <w:r w:rsidRPr="00ED7B99">
        <w:rPr>
          <w:rFonts w:asciiTheme="majorHAnsi" w:hAnsiTheme="majorHAnsi" w:cstheme="majorHAnsi"/>
        </w:rPr>
        <w:t xml:space="preserve">Inovacije se u današnjem vremenu poslovanja smatraju jednom od ključnih faktora rasta i </w:t>
      </w:r>
      <w:r w:rsidR="00C53D3C" w:rsidRPr="00ED7B99">
        <w:rPr>
          <w:rFonts w:asciiTheme="majorHAnsi" w:hAnsiTheme="majorHAnsi" w:cstheme="majorHAnsi"/>
        </w:rPr>
        <w:t>razvoja</w:t>
      </w:r>
      <w:r w:rsidRPr="00ED7B99">
        <w:rPr>
          <w:rFonts w:asciiTheme="majorHAnsi" w:hAnsiTheme="majorHAnsi" w:cstheme="majorHAnsi"/>
        </w:rPr>
        <w:t xml:space="preserve"> preduzeća te predstavljaju jednu od pokretačkih snaga privrednog razvoja određenih </w:t>
      </w:r>
      <w:r w:rsidRPr="00ED7B99">
        <w:rPr>
          <w:rFonts w:asciiTheme="majorHAnsi" w:hAnsiTheme="majorHAnsi" w:cstheme="majorHAnsi"/>
        </w:rPr>
        <w:lastRenderedPageBreak/>
        <w:t>zemalja. Sa povećanim stepenom globalizacije poslovanja osiguranje inovativnosti u poslovanju postalo je imperativ za preduzeća kako bi očuvala i unaprijedila konkuretnost ali u konačnici i opstala na tržištu.</w:t>
      </w:r>
    </w:p>
    <w:p w14:paraId="562486DB"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Kao što je ranije navedeno, Strategija razvoja Federacije BiH za period 2021-2027. kao jedan od akceleratora razvoja prepoznaje Inovacije i digitalizaciju, te se inovativnost proteže kroz sve prioritete unutar Strateškog cilja 1 “Ubrzan ekonomski razvoj”.  U Akcionom planu za inovacije u malim i srednjim preduzećima Federacije Bosne i Hercegovine za period 2021.-2023. godina navodi se da je inovacioni sistem FBiH definisan određenim izazovima, a to su:</w:t>
      </w:r>
    </w:p>
    <w:p w14:paraId="52565ABF" w14:textId="77777777" w:rsidR="00E440CE" w:rsidRPr="00ED7B99" w:rsidRDefault="003422A9">
      <w:pPr>
        <w:numPr>
          <w:ilvl w:val="0"/>
          <w:numId w:val="6"/>
        </w:numPr>
        <w:spacing w:after="0"/>
        <w:jc w:val="both"/>
        <w:rPr>
          <w:rFonts w:asciiTheme="majorHAnsi" w:hAnsiTheme="majorHAnsi" w:cstheme="majorHAnsi"/>
        </w:rPr>
      </w:pPr>
      <w:r w:rsidRPr="00ED7B99">
        <w:rPr>
          <w:rFonts w:asciiTheme="majorHAnsi" w:hAnsiTheme="majorHAnsi" w:cstheme="majorHAnsi"/>
        </w:rPr>
        <w:t xml:space="preserve"> Generalno nedostaju podaci i informacije o inovacijama u FBiH, i prisutan je mali broj aktivnih organizacija za podršku koje rade na unapređenju inovacija;</w:t>
      </w:r>
    </w:p>
    <w:p w14:paraId="55E42D66" w14:textId="77777777" w:rsidR="00E440CE" w:rsidRPr="00ED7B99" w:rsidRDefault="003422A9">
      <w:pPr>
        <w:numPr>
          <w:ilvl w:val="0"/>
          <w:numId w:val="6"/>
        </w:numPr>
        <w:spacing w:after="0"/>
        <w:jc w:val="both"/>
        <w:rPr>
          <w:rFonts w:asciiTheme="majorHAnsi" w:hAnsiTheme="majorHAnsi" w:cstheme="majorHAnsi"/>
        </w:rPr>
      </w:pPr>
      <w:r w:rsidRPr="00ED7B99">
        <w:rPr>
          <w:rFonts w:asciiTheme="majorHAnsi" w:hAnsiTheme="majorHAnsi" w:cstheme="majorHAnsi"/>
        </w:rPr>
        <w:t>Nedostatak ciljanih programa podrške inovacijama od strane različitih institucija u FBiH</w:t>
      </w:r>
    </w:p>
    <w:p w14:paraId="2DAE7DFE" w14:textId="77777777" w:rsidR="00E440CE" w:rsidRPr="00ED7B99" w:rsidRDefault="003422A9">
      <w:pPr>
        <w:numPr>
          <w:ilvl w:val="0"/>
          <w:numId w:val="6"/>
        </w:numPr>
        <w:spacing w:after="0"/>
        <w:jc w:val="both"/>
        <w:rPr>
          <w:rFonts w:asciiTheme="majorHAnsi" w:hAnsiTheme="majorHAnsi" w:cstheme="majorHAnsi"/>
        </w:rPr>
      </w:pPr>
      <w:r w:rsidRPr="00ED7B99">
        <w:rPr>
          <w:rFonts w:asciiTheme="majorHAnsi" w:hAnsiTheme="majorHAnsi" w:cstheme="majorHAnsi"/>
        </w:rPr>
        <w:t>Nedostatak kapaciteta za podršku inovacijama u istraživačkim i drugim organizacija za podršku odgovornih za unapređenje MSP</w:t>
      </w:r>
    </w:p>
    <w:p w14:paraId="1A244E3F" w14:textId="77777777" w:rsidR="00E440CE" w:rsidRPr="00ED7B99" w:rsidRDefault="003422A9">
      <w:pPr>
        <w:numPr>
          <w:ilvl w:val="0"/>
          <w:numId w:val="6"/>
        </w:numPr>
        <w:spacing w:after="0"/>
        <w:jc w:val="both"/>
        <w:rPr>
          <w:rFonts w:asciiTheme="majorHAnsi" w:hAnsiTheme="majorHAnsi" w:cstheme="majorHAnsi"/>
        </w:rPr>
      </w:pPr>
      <w:r w:rsidRPr="00ED7B99">
        <w:rPr>
          <w:rFonts w:asciiTheme="majorHAnsi" w:hAnsiTheme="majorHAnsi" w:cstheme="majorHAnsi"/>
        </w:rPr>
        <w:t>Relativno mali broj izvozno orijentisanih preduzeća, uključenih u globalne lance vrijednosti, pokušavaju da odgovore zahtjevima svojih kupaca, uz mali broj inovacija novih proizvoda i procesa, odnosno aktivnostima proizašlim iz novih poslovnih modela</w:t>
      </w:r>
    </w:p>
    <w:p w14:paraId="7DDA799C" w14:textId="77777777" w:rsidR="00E440CE" w:rsidRPr="00ED7B99" w:rsidRDefault="003422A9">
      <w:pPr>
        <w:numPr>
          <w:ilvl w:val="0"/>
          <w:numId w:val="6"/>
        </w:numPr>
        <w:spacing w:after="0"/>
        <w:jc w:val="both"/>
        <w:rPr>
          <w:rFonts w:asciiTheme="majorHAnsi" w:hAnsiTheme="majorHAnsi" w:cstheme="majorHAnsi"/>
        </w:rPr>
      </w:pPr>
      <w:r w:rsidRPr="00ED7B99">
        <w:rPr>
          <w:rFonts w:asciiTheme="majorHAnsi" w:hAnsiTheme="majorHAnsi" w:cstheme="majorHAnsi"/>
        </w:rPr>
        <w:t>Nedostatak saradnje i iskustva u zajedničkim projektima znanja između preduzeća, istraživačkih organizacija i poduzetničkih potpornih institucija</w:t>
      </w:r>
    </w:p>
    <w:p w14:paraId="417854C0" w14:textId="77777777" w:rsidR="00E440CE" w:rsidRPr="00ED7B99" w:rsidRDefault="003422A9">
      <w:pPr>
        <w:numPr>
          <w:ilvl w:val="0"/>
          <w:numId w:val="6"/>
        </w:numPr>
        <w:spacing w:after="0"/>
        <w:jc w:val="both"/>
        <w:rPr>
          <w:rFonts w:asciiTheme="majorHAnsi" w:hAnsiTheme="majorHAnsi" w:cstheme="majorHAnsi"/>
        </w:rPr>
      </w:pPr>
      <w:r w:rsidRPr="00ED7B99">
        <w:rPr>
          <w:rFonts w:asciiTheme="majorHAnsi" w:hAnsiTheme="majorHAnsi" w:cstheme="majorHAnsi"/>
        </w:rPr>
        <w:t>Nedostatak sistemskog i koordiniranog pristupa u korištenju sredstava EU;</w:t>
      </w:r>
    </w:p>
    <w:p w14:paraId="405825FD" w14:textId="77777777" w:rsidR="00E440CE" w:rsidRPr="00ED7B99" w:rsidRDefault="003422A9">
      <w:pPr>
        <w:numPr>
          <w:ilvl w:val="0"/>
          <w:numId w:val="6"/>
        </w:numPr>
        <w:jc w:val="both"/>
        <w:rPr>
          <w:rFonts w:asciiTheme="majorHAnsi" w:hAnsiTheme="majorHAnsi" w:cstheme="majorHAnsi"/>
        </w:rPr>
      </w:pPr>
      <w:r w:rsidRPr="00ED7B99">
        <w:rPr>
          <w:rFonts w:asciiTheme="majorHAnsi" w:hAnsiTheme="majorHAnsi" w:cstheme="majorHAnsi"/>
        </w:rPr>
        <w:t>Nedostatak određene inovacione infrastrukture i platformi za umrežavanje; te su na osnovu nalaza i razmišljanja zainteresovanih strana definisana 4 područja intervencije za konkretnu implementacijsku orijentaciju:</w:t>
      </w:r>
    </w:p>
    <w:p w14:paraId="10B62564" w14:textId="77777777" w:rsidR="00E440CE" w:rsidRPr="00ED7B99" w:rsidRDefault="003422A9">
      <w:pPr>
        <w:spacing w:before="240" w:line="256" w:lineRule="auto"/>
        <w:ind w:left="360"/>
        <w:jc w:val="both"/>
        <w:rPr>
          <w:rFonts w:asciiTheme="majorHAnsi" w:hAnsiTheme="majorHAnsi" w:cstheme="majorHAnsi"/>
        </w:rPr>
      </w:pPr>
      <w:r w:rsidRPr="00ED7B99">
        <w:rPr>
          <w:rFonts w:asciiTheme="majorHAnsi" w:hAnsiTheme="majorHAnsi" w:cstheme="majorHAnsi"/>
        </w:rPr>
        <w:t>1)·       Dizajniranje i testiranje vaučer šeme za  inovacije i ozelenjavanje MSP</w:t>
      </w:r>
    </w:p>
    <w:p w14:paraId="36C535EF" w14:textId="1B939C0D" w:rsidR="00E440CE" w:rsidRPr="00ED7B99" w:rsidRDefault="003422A9">
      <w:pPr>
        <w:spacing w:before="240" w:line="256" w:lineRule="auto"/>
        <w:ind w:left="360"/>
        <w:jc w:val="both"/>
        <w:rPr>
          <w:rFonts w:asciiTheme="majorHAnsi" w:hAnsiTheme="majorHAnsi" w:cstheme="majorHAnsi"/>
        </w:rPr>
      </w:pPr>
      <w:r w:rsidRPr="00ED7B99">
        <w:rPr>
          <w:rFonts w:asciiTheme="majorHAnsi" w:hAnsiTheme="majorHAnsi" w:cstheme="majorHAnsi"/>
        </w:rPr>
        <w:t xml:space="preserve">2) Promoviranje konkretnih mrežnih platformi duž quintuple helix modela (uključujući </w:t>
      </w:r>
      <w:r w:rsidR="0010687A" w:rsidRPr="0010687A">
        <w:rPr>
          <w:rFonts w:asciiTheme="majorHAnsi" w:hAnsiTheme="majorHAnsi" w:cstheme="majorHAnsi"/>
        </w:rPr>
        <w:t>pored univerziteta, poslovnog sektora i države kao elemenata tripple helix modela, i institucije znanja</w:t>
      </w:r>
      <w:r w:rsidRPr="00ED7B99">
        <w:rPr>
          <w:rFonts w:asciiTheme="majorHAnsi" w:hAnsiTheme="majorHAnsi" w:cstheme="majorHAnsi"/>
        </w:rPr>
        <w:t>,kao i organizacije civilnog društva i organizacije za zaštitu životne sredine, kako bi se ojačao dijalog i zajednički promovisale konkretna saradnja i inovativne aktivnosti</w:t>
      </w:r>
    </w:p>
    <w:p w14:paraId="46B2EC0A" w14:textId="77777777" w:rsidR="00E440CE" w:rsidRPr="00ED7B99" w:rsidRDefault="003422A9">
      <w:pPr>
        <w:spacing w:before="240" w:line="256" w:lineRule="auto"/>
        <w:ind w:left="360"/>
        <w:jc w:val="both"/>
        <w:rPr>
          <w:rFonts w:asciiTheme="majorHAnsi" w:hAnsiTheme="majorHAnsi" w:cstheme="majorHAnsi"/>
        </w:rPr>
      </w:pPr>
      <w:r w:rsidRPr="00ED7B99">
        <w:rPr>
          <w:rFonts w:asciiTheme="majorHAnsi" w:hAnsiTheme="majorHAnsi" w:cstheme="majorHAnsi"/>
        </w:rPr>
        <w:t>3) Jačanje inovacione infrastrukture koja je već planirana, prijeko potrebna i provodiva, kako bi se implementirala i bila zasnovana na iskustvima koja se takođe mogu primijeniti i u drugim oblastima</w:t>
      </w:r>
    </w:p>
    <w:p w14:paraId="591609C8" w14:textId="77777777" w:rsidR="00E440CE" w:rsidRPr="00ED7B99" w:rsidRDefault="003422A9">
      <w:pPr>
        <w:spacing w:before="240" w:line="256" w:lineRule="auto"/>
        <w:ind w:left="360"/>
        <w:jc w:val="both"/>
        <w:rPr>
          <w:rFonts w:asciiTheme="majorHAnsi" w:hAnsiTheme="majorHAnsi" w:cstheme="majorHAnsi"/>
        </w:rPr>
      </w:pPr>
      <w:r w:rsidRPr="00ED7B99">
        <w:rPr>
          <w:rFonts w:asciiTheme="majorHAnsi" w:hAnsiTheme="majorHAnsi" w:cstheme="majorHAnsi"/>
        </w:rPr>
        <w:t>4) Povećavanje uključenosti u programe EU i Zapadnog Balkana radi boljeg korištenja EU mreža za učenje, kao i raspoloživih sredstava. To takođe uključuje poboljšanje mogućnosti prijavljivanja za ove fondove, ali i bolje umrežavanje i razmjenu iskustava između zainteresiranih strana u FBiH.</w:t>
      </w:r>
    </w:p>
    <w:p w14:paraId="3D8228CE" w14:textId="77777777" w:rsidR="00EE5E0D" w:rsidRPr="00ED7B99" w:rsidRDefault="003422A9" w:rsidP="00EE5E0D">
      <w:pPr>
        <w:spacing w:before="240" w:after="240"/>
        <w:jc w:val="both"/>
        <w:rPr>
          <w:rFonts w:asciiTheme="majorHAnsi" w:hAnsiTheme="majorHAnsi" w:cstheme="majorHAnsi"/>
        </w:rPr>
      </w:pPr>
      <w:r w:rsidRPr="00ED7B99">
        <w:rPr>
          <w:rFonts w:asciiTheme="majorHAnsi" w:hAnsiTheme="majorHAnsi" w:cstheme="majorHAnsi"/>
        </w:rPr>
        <w:t xml:space="preserve">U Akcionom planu se navodi da bi se područja intervencije trebala nadovezati na postojeće iskustvo. U skladu s tim, Akcioni plan za inovacije se treba tumačiti kao „Razvoj plana u toku“ koji zahtijeva dalju konkretizaciju i realizaciju, putem dalje koordinacije i saradnje zainteresovanih strana u FBiH. </w:t>
      </w:r>
      <w:r w:rsidR="00EE5E0D" w:rsidRPr="00ED7B99">
        <w:rPr>
          <w:rFonts w:asciiTheme="majorHAnsi" w:hAnsiTheme="majorHAnsi" w:cstheme="majorHAnsi"/>
        </w:rPr>
        <w:t xml:space="preserve">Iako se navedi Akcioni plan izrađuje na godišnjem nivou po principu 1+2, efekti njegove izrade ostaju ograničeni uslijed nedostatka dovoljnog nivoa </w:t>
      </w:r>
      <w:r w:rsidR="00EE5E0D" w:rsidRPr="00ED7B99">
        <w:rPr>
          <w:rFonts w:asciiTheme="majorHAnsi" w:hAnsiTheme="majorHAnsi" w:cstheme="majorHAnsi"/>
        </w:rPr>
        <w:lastRenderedPageBreak/>
        <w:t xml:space="preserve">koordinacije svih relevantnih aktera zaduženih za implementaciju planiranih aktivnosti ali i finansijskih sredstava, te je neophodno utvrditi iznose sredstava po planiranim aktivnostima u okviru pojedinačnih područja intervencije ta unprijediti sistem monitoringa, evaluacije i izvještavanja o implementaciji navedenog Akcionog plana. </w:t>
      </w:r>
    </w:p>
    <w:p w14:paraId="309C4F55" w14:textId="77777777" w:rsidR="007E1659" w:rsidRPr="00ED7B99" w:rsidRDefault="007E1659" w:rsidP="007E1659">
      <w:pPr>
        <w:spacing w:after="80" w:line="240" w:lineRule="auto"/>
        <w:jc w:val="both"/>
        <w:rPr>
          <w:rFonts w:asciiTheme="majorHAnsi" w:hAnsiTheme="majorHAnsi" w:cstheme="majorHAnsi"/>
        </w:rPr>
      </w:pPr>
      <w:r w:rsidRPr="00ED7B99">
        <w:rPr>
          <w:rFonts w:asciiTheme="majorHAnsi" w:hAnsiTheme="majorHAnsi" w:cstheme="majorHAnsi"/>
        </w:rPr>
        <w:t>U skladu sa Akcionim planom, uz podršku „Mehanizma za podršku implementaciji strategija razvoja malih i srednjih preduzeća – SIEM“ u okviru projekta „Evropski akt o malom biznisu kao okvir strategija i politika za mala i srednja preduzeća u Bosni i Hercegovini“, koji je finansirala Švedska, a implementirala Agencija za razvoj preduzeća Eda Banja Luka pored projekata koje je implementirala Asocijacija "ReSET" – Centar za održivu energetsku tranziciju iz Sarajeva i Privredna/Gospodarska komora Federacije BiH koji su relevatni za oblast zelene ekonomije, u saradnji Zeničke razvojne agencije ZEDA, Grada Zenica i Agencije za razvoj preduzeća Eda Banja Luka, u sklopu Javnog poziva za dodjelu bespovratnih finansijskih sredstava (granta) iz Mehanizama za podršku implementaciji strategija razvoja malih i srednjih preduzeća (SIEM) projekta „SBA u BiH“, izvršen je izbor osam poslovnih subjekata sa kojima je zaključen ugovor o dodjeli sredstava ukupne vrijednosti 100.000 KM, dok ukupna vrijednost projekata koji su realizovani iznosi 152.584 KM. Implementacijom ovog vaučer programa je podržan proces uvođenja inovacija koje obezbjeđuju unapređenje postojećih ili razvoj novih proizvoda/usluga ili procesa u poslovanju pruža se podrška različitim aktivnostima, prije svega u oblasti digitalizacije procesa kao što su optimizacija i smanjenje troškova proizvodnog procesa, optimizacija procesa  evidencije  i kontrole utroška radnih sati, kreiranje i implementacija online platforme za upravljanje ljudskim resursima, program objedinjavanja prodaje i lojalnosti kupaca i  drugo. Takođe, podržana je realizacija projekata koji se odnose na rebrendiranje i modernizaciju brenda, te drugi vidovi unapređenja u oblasti marketinga.</w:t>
      </w:r>
    </w:p>
    <w:p w14:paraId="15796622" w14:textId="00C8013A" w:rsidR="00EA4D4B" w:rsidRPr="00ED7B99" w:rsidRDefault="00EA4D4B" w:rsidP="00EA4D4B">
      <w:pPr>
        <w:jc w:val="both"/>
        <w:rPr>
          <w:rFonts w:asciiTheme="majorHAnsi" w:hAnsiTheme="majorHAnsi" w:cstheme="majorHAnsi"/>
        </w:rPr>
      </w:pPr>
      <w:r w:rsidRPr="00ED7B99">
        <w:rPr>
          <w:rFonts w:asciiTheme="majorHAnsi" w:hAnsiTheme="majorHAnsi" w:cstheme="majorHAnsi"/>
        </w:rPr>
        <w:t>U kontekstu digitalizacije koja potpomaže inovativne procese u preduzećima, potrebno je istaći da prema Studiji o digitalnoj transformaciji kompanija u Bosni i Hercegovini</w:t>
      </w:r>
      <w:r w:rsidRPr="00ED7B99">
        <w:rPr>
          <w:rStyle w:val="FootnoteReference"/>
          <w:rFonts w:asciiTheme="majorHAnsi" w:hAnsiTheme="majorHAnsi" w:cstheme="majorHAnsi"/>
        </w:rPr>
        <w:footnoteReference w:id="6"/>
      </w:r>
      <w:r w:rsidRPr="00ED7B99">
        <w:rPr>
          <w:rFonts w:asciiTheme="majorHAnsi" w:hAnsiTheme="majorHAnsi" w:cstheme="majorHAnsi"/>
        </w:rPr>
        <w:t>, 24% preduzeća u BiH ima integrirane interne procese, 14% preduzeća koriste 2 ili više društvenih medija, samo 5% koristi prednosti analitike big data il bilo kog izvora podataka, 9% njih kupuje neku od usluga cloud computing-a, 19% preduzeća vrši prodaju putem Interneta (od čega ostvaruje najmanje 1% prometa). Prema rezultatima istraživanja u okviru Studije, 53% kompanija koje su usvojile društvene medije vjeruju da su digitalne tehnologije doprinijele usvajanju novih klijenata, 46% kompanija koriste mobilne tehnologije, 73% kompanije investira u digitalne tehnologije s ciljem boljeg povezivanja s kupcima, 19,4% kompanija koje ulažu u digitalne tehnologije zabilježile su smanjenje operativnih troškova, 89,1% kompanija koje ulažu u digitalne tehnologije je zadržalo ili povećalo broj zaposlenih, a samo 16% kompanija posjeduje integriranu strategiju inovacija  i digitalizacije.</w:t>
      </w:r>
    </w:p>
    <w:p w14:paraId="779C47EB" w14:textId="61AC7DF3" w:rsidR="00D1191D" w:rsidRPr="00ED7B99" w:rsidRDefault="003422A9" w:rsidP="00D1191D">
      <w:pPr>
        <w:jc w:val="both"/>
        <w:rPr>
          <w:rFonts w:asciiTheme="majorHAnsi" w:hAnsiTheme="majorHAnsi" w:cstheme="majorHAnsi"/>
        </w:rPr>
      </w:pPr>
      <w:r w:rsidRPr="00ED7B99">
        <w:rPr>
          <w:rFonts w:asciiTheme="majorHAnsi" w:hAnsiTheme="majorHAnsi" w:cstheme="majorHAnsi"/>
        </w:rPr>
        <w:t>Politike podrške inovativnosti u Bo</w:t>
      </w:r>
      <w:r w:rsidR="007E1659" w:rsidRPr="00ED7B99">
        <w:rPr>
          <w:rFonts w:asciiTheme="majorHAnsi" w:hAnsiTheme="majorHAnsi" w:cstheme="majorHAnsi"/>
        </w:rPr>
        <w:t>s</w:t>
      </w:r>
      <w:r w:rsidRPr="00ED7B99">
        <w:rPr>
          <w:rFonts w:asciiTheme="majorHAnsi" w:hAnsiTheme="majorHAnsi" w:cstheme="majorHAnsi"/>
        </w:rPr>
        <w:t xml:space="preserve">ni i Hercegovini je još jedna od oblasti na koju utiče kompleksno administrativno ustrojstvo u BiH. Naime, Bosna i Hercegovina je jedna od tri posljednje ranigirane zemlje na European Innovation Scoreboard u 2021. godini i klasificirana je kao “inovator u nastanku” što dovoljno govori o stanju u navedenoj oblasti. Istraživanje i razvoj su i dalje izuzetno nerazvijeni u Federaciji BiH. Postoje određeni pomaci u kontekstu finansijske podrške ali istraživačko-razvojna aktivnost i dalje nije zasnovana na uskoj i bliskoj saradnji privrednih subjekata, naučno-istraživačkih institucija i akademske zajednice, nego se uglavnom radi o internim aktivnostima unutar samih preduzeća i u </w:t>
      </w:r>
      <w:r w:rsidRPr="00ED7B99">
        <w:rPr>
          <w:rFonts w:asciiTheme="majorHAnsi" w:hAnsiTheme="majorHAnsi" w:cstheme="majorHAnsi"/>
        </w:rPr>
        <w:lastRenderedPageBreak/>
        <w:t>najvećoj mjeri od strane velikih preduzeća koja imaju vlastite kapacitete za aktivnosti istraživanja i razvoja. Sa druge strane, u FBiH postoje 3 naučno-tehnološka parka koji sarađuju sa predstavnicima univerziteta ali i dalje većina mjera usmjerenih ka inovativnosti subjekata male privrede je inicirana od strane projekata ili poslovnih udruženja</w:t>
      </w:r>
      <w:r w:rsidR="00D1191D" w:rsidRPr="00ED7B99">
        <w:rPr>
          <w:rFonts w:asciiTheme="majorHAnsi" w:hAnsiTheme="majorHAnsi" w:cstheme="majorHAnsi"/>
        </w:rPr>
        <w:t>, jer je inovativnost malih i srednjih preduzeća interno ograničena dostupnošću finansijjskih sredstava za inovativne projekte</w:t>
      </w:r>
      <w:r w:rsidRPr="00ED7B99">
        <w:rPr>
          <w:rFonts w:asciiTheme="majorHAnsi" w:hAnsiTheme="majorHAnsi" w:cstheme="majorHAnsi"/>
        </w:rPr>
        <w:t>. Jedan</w:t>
      </w:r>
      <w:r w:rsidR="00D1191D" w:rsidRPr="00ED7B99">
        <w:rPr>
          <w:rFonts w:asciiTheme="majorHAnsi" w:hAnsiTheme="majorHAnsi" w:cstheme="majorHAnsi"/>
        </w:rPr>
        <w:t xml:space="preserve"> od projekata koji potiče inovativnost MSP-a je proj</w:t>
      </w:r>
      <w:r w:rsidRPr="00ED7B99">
        <w:rPr>
          <w:rFonts w:asciiTheme="majorHAnsi" w:hAnsiTheme="majorHAnsi" w:cstheme="majorHAnsi"/>
        </w:rPr>
        <w:t>ekat Challenge to Change koji se implementira u BiH od 2016. godine a koji potiče inovativne ideje u BiH.</w:t>
      </w:r>
      <w:r w:rsidR="00D1191D" w:rsidRPr="00ED7B99">
        <w:rPr>
          <w:rFonts w:asciiTheme="majorHAnsi" w:hAnsiTheme="majorHAnsi" w:cstheme="majorHAnsi"/>
        </w:rPr>
        <w:t xml:space="preserve"> Ugovor o implementaciji ovog projekta potpisali su Sarajevska regionalna razvojna agencija SERDA i SIDA.</w:t>
      </w:r>
    </w:p>
    <w:p w14:paraId="417FEC9F" w14:textId="77777777" w:rsidR="00D1191D" w:rsidRPr="00ED7B99" w:rsidRDefault="00D1191D" w:rsidP="00D1191D">
      <w:pPr>
        <w:jc w:val="both"/>
        <w:rPr>
          <w:rFonts w:asciiTheme="majorHAnsi" w:hAnsiTheme="majorHAnsi" w:cstheme="majorHAnsi"/>
        </w:rPr>
      </w:pPr>
      <w:r w:rsidRPr="00ED7B99">
        <w:rPr>
          <w:rFonts w:asciiTheme="majorHAnsi" w:hAnsiTheme="majorHAnsi" w:cstheme="majorHAnsi"/>
        </w:rPr>
        <w:t xml:space="preserve">Challenge to Change projekat posebno stimuliše inovativne poslovne ideje i procese koji mogu biti od značaja za društveno ekonomski razvoj Bosne i Hercegovine. Jedna od glavnih karakteristika projekta je da pruža kandidatima jednokratnu i ograničenu podršku za prevladavanje nesigurnosti koji inhibiraju inovacije, istraživanje i razvoj, kao i ulaganja u nove pristupe. </w:t>
      </w:r>
    </w:p>
    <w:p w14:paraId="63A5591D" w14:textId="77777777" w:rsidR="00D1191D" w:rsidRPr="00ED7B99" w:rsidRDefault="00D1191D" w:rsidP="00D1191D">
      <w:pPr>
        <w:jc w:val="both"/>
        <w:rPr>
          <w:rFonts w:asciiTheme="majorHAnsi" w:hAnsiTheme="majorHAnsi" w:cstheme="majorHAnsi"/>
        </w:rPr>
      </w:pPr>
      <w:r w:rsidRPr="00ED7B99">
        <w:rPr>
          <w:rFonts w:asciiTheme="majorHAnsi" w:hAnsiTheme="majorHAnsi" w:cstheme="majorHAnsi"/>
        </w:rPr>
        <w:t>Kroz Challenge to Change projekat dosad je podržano ukupno 179 kompanija sa inovativnom idejom sa područja cijele Bosne i Hercegovine, dok je na području Federacije Bosne i Hercegovine podržano 106 kompanija. Kompanije na području Federacije Bosne i Hercegovine su ugovorile projekte u ukupnoj visini sredstava od 6.179.233,70 EUR, od čega su 2.428.895,82 EUR grant sredstva. Pored poboljšanja performansi svog poslovanja, kompanije su tokom realizacije svojih projekata zaposlile novih 397 radnika.</w:t>
      </w:r>
    </w:p>
    <w:p w14:paraId="390E28D8"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Iako,  kao dio poduzetničke infrastrukture, na nivou Federacije BiH postoje poslovni inkubatori, inovacioni centri i slično (ukupno 14 poslovnih inkubatora)i, uglavnom se radi o centrima različitih struktura, fokusa i svrhe. Prema nalazima Izvještaja o Indeksu MSP politika za Zapadni Balkan 2022, mnogo od njih nude obuke mentorstvo i suluge poslovnog savjetovanja ali je čest slučaj da neki od njih ne služe svojoj svrsi, s obzirom da su poduzetnici imaju svoja trajna sjedišta u ovim inkubatorima. </w:t>
      </w:r>
    </w:p>
    <w:p w14:paraId="6F41AEFF" w14:textId="4E2AB0A4" w:rsidR="00E440CE" w:rsidRPr="00ED7B99" w:rsidRDefault="003422A9">
      <w:pPr>
        <w:jc w:val="both"/>
        <w:rPr>
          <w:rFonts w:asciiTheme="majorHAnsi" w:hAnsiTheme="majorHAnsi" w:cstheme="majorHAnsi"/>
          <w:color w:val="FF0000"/>
          <w:highlight w:val="yellow"/>
        </w:rPr>
      </w:pPr>
      <w:r w:rsidRPr="00ED7B99">
        <w:rPr>
          <w:rFonts w:asciiTheme="majorHAnsi" w:hAnsiTheme="majorHAnsi" w:cstheme="majorHAnsi"/>
        </w:rPr>
        <w:t xml:space="preserve">Broj podnešenih patenata na nivou godine u Bosni i Hercegovini je i dalje nizak. </w:t>
      </w:r>
    </w:p>
    <w:p w14:paraId="45E3663F" w14:textId="77777777" w:rsidR="00E440CE" w:rsidRPr="00ED7B99" w:rsidRDefault="003422A9">
      <w:pPr>
        <w:jc w:val="both"/>
        <w:rPr>
          <w:rFonts w:asciiTheme="majorHAnsi" w:hAnsiTheme="majorHAnsi" w:cstheme="majorHAnsi"/>
          <w:color w:val="FF0000"/>
          <w:highlight w:val="yellow"/>
        </w:rPr>
      </w:pPr>
      <w:r w:rsidRPr="00ED7B99">
        <w:rPr>
          <w:rFonts w:asciiTheme="majorHAnsi" w:hAnsiTheme="majorHAnsi" w:cstheme="majorHAnsi"/>
        </w:rPr>
        <w:t>Razvojna potreba u narednom periodu odnosi se na snažniju promociju značaja zaštite intelektualnog vlasništva ali i mogućnosti njegove komercijalizacije, kako bi se jačali kapaciteti subjekata male privrede u navedenoj oblasti.</w:t>
      </w:r>
    </w:p>
    <w:p w14:paraId="3FD6513C" w14:textId="77777777" w:rsidR="00E440CE" w:rsidRPr="00ED7B99" w:rsidRDefault="003422A9" w:rsidP="00936783">
      <w:pPr>
        <w:pStyle w:val="Heading3"/>
        <w:numPr>
          <w:ilvl w:val="2"/>
          <w:numId w:val="13"/>
        </w:numPr>
        <w:rPr>
          <w:rFonts w:asciiTheme="majorHAnsi" w:eastAsia="Calibri" w:hAnsiTheme="majorHAnsi" w:cstheme="majorHAnsi"/>
        </w:rPr>
      </w:pPr>
      <w:bookmarkStart w:id="23" w:name="_Toc117458927"/>
      <w:r w:rsidRPr="00ED7B99">
        <w:rPr>
          <w:rFonts w:asciiTheme="majorHAnsi" w:eastAsia="Calibri" w:hAnsiTheme="majorHAnsi" w:cstheme="majorHAnsi"/>
        </w:rPr>
        <w:t>MSP u zelenoj ekonomiji (SBA dimenzija 9)</w:t>
      </w:r>
      <w:bookmarkEnd w:id="23"/>
    </w:p>
    <w:p w14:paraId="1BF7362D" w14:textId="77777777" w:rsidR="00E440CE" w:rsidRPr="00ED7B99" w:rsidRDefault="00E440CE">
      <w:pPr>
        <w:rPr>
          <w:rFonts w:asciiTheme="majorHAnsi" w:hAnsiTheme="majorHAnsi" w:cstheme="majorHAnsi"/>
        </w:rPr>
      </w:pPr>
    </w:p>
    <w:p w14:paraId="75E62BD8" w14:textId="74632236" w:rsidR="00E440CE" w:rsidRPr="00ED7B99" w:rsidRDefault="003422A9">
      <w:pPr>
        <w:jc w:val="both"/>
        <w:rPr>
          <w:rFonts w:asciiTheme="majorHAnsi" w:hAnsiTheme="majorHAnsi" w:cstheme="majorHAnsi"/>
        </w:rPr>
      </w:pPr>
      <w:r w:rsidRPr="00ED7B99">
        <w:rPr>
          <w:rFonts w:asciiTheme="majorHAnsi" w:hAnsiTheme="majorHAnsi" w:cstheme="majorHAnsi"/>
        </w:rPr>
        <w:t xml:space="preserve">Prema Indeksu MSP Politike za Zapadni Balkan, kao i svaki drugi privredni subjekt, mala i srednja preduzeća suočavaju se s posljedicama degradacija okoliša, što može stvoriti specifične izazove za njihov opstanak i rast. Sa druge strane, MSP  mogu biti izvor inovacija i rješenja za razvoj tehnologije potrebne za rješavanje ekoloških izazova. Nova zelena tržišta i </w:t>
      </w:r>
      <w:r w:rsidR="0028134C">
        <w:rPr>
          <w:rFonts w:asciiTheme="majorHAnsi" w:hAnsiTheme="majorHAnsi" w:cstheme="majorHAnsi"/>
        </w:rPr>
        <w:t xml:space="preserve">zaokret ka zelenoj ekonomiji </w:t>
      </w:r>
      <w:r w:rsidRPr="00ED7B99">
        <w:rPr>
          <w:rFonts w:asciiTheme="majorHAnsi" w:hAnsiTheme="majorHAnsi" w:cstheme="majorHAnsi"/>
        </w:rPr>
        <w:t xml:space="preserve">mogu stvoriti prilike za MSP. Prema Zakonu o energetskoj efikasnosti FBiH (Službene novine FBiH, broj 22/17)  "energetska efikasnost" je odnos između potrošene energije i ostvarenog efekta u uslugama, robi ili energiji. Kroz primjenu pristupa energetske efikasnosti i ušteda, MSP mogu ostvariti poboljšanje svog poslovanja i osloboditi resurse za nova ulaganja i/ili diverzifikaciju poslovanja. </w:t>
      </w:r>
    </w:p>
    <w:p w14:paraId="1A2CF2F5"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Privreda u Bosni i Hercegovini, time i u Federaciji BiH zasnovana je na uglju i njegovom korištenju za proizvodnju električne energije, kao i zagrijavanje poslovnih i stambenih </w:t>
      </w:r>
      <w:r w:rsidRPr="00ED7B99">
        <w:rPr>
          <w:rFonts w:asciiTheme="majorHAnsi" w:hAnsiTheme="majorHAnsi" w:cstheme="majorHAnsi"/>
        </w:rPr>
        <w:lastRenderedPageBreak/>
        <w:t xml:space="preserve">objekata. U posljednje vrijeme sve više poslovnih subjekata se okreće korištenju energetski efikasnijih načina proizvodnje električne energije i zagrijavanja i hlađenja poslovnih prostora, ali je značajan rast cijena peleta i ogrjevnog drveta uslijed poremaćaja na europskom tržištu uzrokovanog ratnim dešavanjima u Ukrajini, stvorio  značajan izazov kako za stanovništvo tako i za privredne subjekte. Tromjesečna zabrana izvoza peleta i ogrijevnog drveta koje je donijelo Vijeće ministara Bosne i Hercegovine u 2022. godini  nije rezultirala smanjenjem cijena ovih energenata na domaćem tržištu. Uz nizak stepen korištenja obnovljivih izvora enregije u protekom periodu kao značajna razvojna potreba u ovom kontekstu nameću se usklađene, dobro kooridinire i targetirane linije finansijske i tehničke pomoći kako bi se očuvao postojeći nivo ali i potaklo dalje uvođenje održivih praksi u poslovanje preduzeća u FBiH. </w:t>
      </w:r>
    </w:p>
    <w:p w14:paraId="497173A6" w14:textId="77777777" w:rsidR="00EE5E0D" w:rsidRPr="00ED7B99" w:rsidRDefault="003422A9" w:rsidP="00EE5E0D">
      <w:pPr>
        <w:jc w:val="both"/>
        <w:rPr>
          <w:rFonts w:asciiTheme="majorHAnsi" w:hAnsiTheme="majorHAnsi" w:cstheme="majorHAnsi"/>
        </w:rPr>
      </w:pPr>
      <w:r w:rsidRPr="00ED7B99">
        <w:rPr>
          <w:rFonts w:asciiTheme="majorHAnsi" w:hAnsiTheme="majorHAnsi" w:cstheme="majorHAnsi"/>
        </w:rPr>
        <w:t xml:space="preserve">Značajna finansijska sredstva na nivou Federacije BiH su izdvojena za podršku energetskoj efikasnosti u ovom entitetu BiH, posebno u okviru mjera planiranih Akcionom planom razvoja MSP u FBiH za period 2019 - 2020, kada je realizirano preko 15.000.000 KM za unapređenje EE od strane MSP.  </w:t>
      </w:r>
      <w:r w:rsidR="00EE5E0D" w:rsidRPr="00ED7B99">
        <w:rPr>
          <w:rFonts w:asciiTheme="majorHAnsi" w:hAnsiTheme="majorHAnsi" w:cstheme="majorHAnsi"/>
        </w:rPr>
        <w:t>Neke od njih, u skladu sa Akcionim planom, uz podršku „Mehanizma za podršku implementaciji strategija razvoja malih i srednjih preduzeća – SIEM“ u okviru projekta „Evropski akt o malom biznisu kao okvir strategija i politika za mala i srednja preduzeća u Bosni i Hercegovini“, koji je finansirala Švedska,  implementirala je Agencija za razvoj preduzeća Eda Banja Luka u okviru čega je podržana realizacija i slijedećih projekata:  (1) Asocijacija "ReSET" – Centar za održivu energetsku tranziciju iz Sarajeva je implementirao projekat Mreža energetske efikasnosti u industriji BiH – MEEI, koji je implementiran u periodu juli - decembar 2021. godine. U projekat su bila uključena preduzeća iz Federacije BiH, pri čemu su za određeni broj preduzeća u okviru projekta urađeni preliminarni energetski auditi. U okviru projekta su akreditovani auditori i stručnjaci iz BiH u oblasti energetske efikasnosti i energetskog menadžmenta koji su proveli audite, uz studente elektrotehničkih i mašinskih fakulteta iz Sarajeva i Tuzle. U okviru projekta je organizovana konferencija tokom koje su prezentovani ključni nalazi provedenih energetskih audita, iskustva u provođenju audita u preduzećima u BiH, kao i identifikovane mjere za unaprjeđenje energetske efikasnosti i korištenje obnovljivih izvora za vlastite potrebe u MSP, te primjeri najboljih praksi i naučenih lekcija preduzeća-lidera u realizaciji mjera energetske efikasnosti; (2) Privredna/Gospodarska komora Federacije BiH je implementirala projekat promocije mreže energetske efikasnosti u industriji, gdje su aktivnosti provedene na području Tešnja i Tuzlanskog Kantona.</w:t>
      </w:r>
    </w:p>
    <w:p w14:paraId="206E8E8F" w14:textId="56C76E0D" w:rsidR="00E440CE" w:rsidRPr="00ED7B99" w:rsidRDefault="003422A9">
      <w:pPr>
        <w:jc w:val="both"/>
        <w:rPr>
          <w:rFonts w:asciiTheme="majorHAnsi" w:hAnsiTheme="majorHAnsi" w:cstheme="majorHAnsi"/>
          <w:color w:val="FF0000"/>
          <w:highlight w:val="yellow"/>
        </w:rPr>
      </w:pPr>
      <w:r w:rsidRPr="00ED7B99">
        <w:rPr>
          <w:rFonts w:asciiTheme="majorHAnsi" w:hAnsiTheme="majorHAnsi" w:cstheme="majorHAnsi"/>
        </w:rPr>
        <w:t xml:space="preserve">Posebnu podršku u ovom segmentu pruža Fond za zašitu okoliša Federacije BiH, koji pored MSP pruža podršku i vladinim institucijama, javnim preduzćima, jedinicama lokalne samouprave i slično u pripremi dokumentacije kao i uvođenju sistema energetske efikasnosti. U 2020. godini Fond je podržao 93 kompanije i 51 projekat vrijednosti preko 5 miliona KM, a MSP u najvećoj mjeri podržao u oblasti energetske efikasnosti, upravljanja vodama, provođenje energetskih audita kao i za aktivnosti usmjerene ka razvoj svijesti. </w:t>
      </w:r>
    </w:p>
    <w:p w14:paraId="4C5FC2F7"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Kao rezultat mjera utvrđenih Strategijom razvoja FBiH za period 2021-2027. godina Razvojna banka Federacije BiH u 2022. godini uvela je  nove kreditne linije, pri čemu se dvije odnose na oblast obnovljivih izvora energije i energetske efikasnosti i to “Kreditna linija za dugoročno kreditiranje projekata obnovljivih izvora energije” i “Kreditna linija za dugoročno kreditiranje poboljšanja energetske efikasnosti” sa fiksnom nominalnom kamatnom stopom od 2,5% i drugim povoljnijim uslovima korištenja finansijskih sredstava. Sve više međunarodnih finansijskih institucija u BiH implementira programe podrške EE, kao što je </w:t>
      </w:r>
      <w:r w:rsidRPr="00ED7B99">
        <w:rPr>
          <w:rFonts w:asciiTheme="majorHAnsi" w:hAnsiTheme="majorHAnsi" w:cstheme="majorHAnsi"/>
        </w:rPr>
        <w:lastRenderedPageBreak/>
        <w:t>npr. zajam Europske investicione banke Raiffeisen Leasing BiH, dok gotovo sve komercijalne banke i mikrokreditne fondacije BiH imaju specifične linije usmjerene ka unapređenje EE u MSP. Pored federalnog nivoa vlasti i određena kantonalna ministarstva nadležna za zaštitu okoliša imaju programa podrške EE za privredne subjekte. Jedno od njih je Ministarstvo prostornog uređenja i zaštite okoliša Tuzlanskog kantona koje je u 2022. godini podržalo 22 privredna društva za realizaciju projekata provedbe energijskih programa, unaprjeđivanja i izgradnje infrastrukture za zaštitu okoliša i zaštite, očuvanja i poboljšanja kvaliteta zraka, tla i voda.</w:t>
      </w:r>
    </w:p>
    <w:p w14:paraId="10C74E5B" w14:textId="2C258C0F" w:rsidR="00E440CE" w:rsidRPr="00ED7B99" w:rsidRDefault="003422A9">
      <w:pPr>
        <w:jc w:val="both"/>
        <w:rPr>
          <w:rFonts w:asciiTheme="majorHAnsi" w:hAnsiTheme="majorHAnsi" w:cstheme="majorHAnsi"/>
        </w:rPr>
      </w:pPr>
      <w:r w:rsidRPr="00ED7B99">
        <w:rPr>
          <w:rFonts w:asciiTheme="majorHAnsi" w:hAnsiTheme="majorHAnsi" w:cstheme="majorHAnsi"/>
        </w:rPr>
        <w:t>U kontekstu finansijske podrške za realizaciju progama podrške zaštiti okoliša i en</w:t>
      </w:r>
      <w:r w:rsidR="007E1659" w:rsidRPr="00ED7B99">
        <w:rPr>
          <w:rFonts w:asciiTheme="majorHAnsi" w:hAnsiTheme="majorHAnsi" w:cstheme="majorHAnsi"/>
        </w:rPr>
        <w:t>e</w:t>
      </w:r>
      <w:r w:rsidRPr="00ED7B99">
        <w:rPr>
          <w:rFonts w:asciiTheme="majorHAnsi" w:hAnsiTheme="majorHAnsi" w:cstheme="majorHAnsi"/>
        </w:rPr>
        <w:t xml:space="preserve">rgetske efikasnosti, generalno je utisak da je najveći broj korisnika ovig programa subjekata male privrede koji su registrovani kao privredna društva, dok su obrtnici kako kroz same uslove javnog poziva tako i uslijed manje razvijenih kapaciteta,  u manjoj mjeri korisnici programa, ostavljajući prostor i potrebu za otvaranje dijaloga ali i kreiranje posebnih mjera podrške za jačanje kapaciteta za  unapređenje EE kao i primjenu principa </w:t>
      </w:r>
      <w:r w:rsidR="0028134C">
        <w:rPr>
          <w:rFonts w:asciiTheme="majorHAnsi" w:hAnsiTheme="majorHAnsi" w:cstheme="majorHAnsi"/>
        </w:rPr>
        <w:t>zelene</w:t>
      </w:r>
      <w:r w:rsidRPr="00ED7B99">
        <w:rPr>
          <w:rFonts w:asciiTheme="majorHAnsi" w:hAnsiTheme="majorHAnsi" w:cstheme="majorHAnsi"/>
        </w:rPr>
        <w:t xml:space="preserve"> ekonomije od strane obrtnika u Federaciji BiH.</w:t>
      </w:r>
    </w:p>
    <w:p w14:paraId="4915BD9E"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Zelena agenda za Zapadni Balkan koja je usvojena u Sofiji u novembru 2020. godine, a koja je povezana sa Europskom zelenim planom, skupom politika i mjera koje EU vode ka klimatskoj neutralnosti do 2050. godine stavila je poseban značaj na primjenu pristupa cirkularne ekonomije od strane MSP s obzirom da je ista jedna od 5 oblasti u agendi sa posebnim fokusom na recikliranje, otpad, održivu proizvodnju i efikasnost upotrebe resursa. Cirkularna ekonomija postaje i jedan od prioriteta finansiranja MSP od strane međunarodnih donatora u BiH. Jedan od njih je i EU4Agri projekat koji omogućava finansiranje aktivnosti na unapređenju industrijske resursne efikasnosti i cirkularnih lanaca vrijednosti u poljoprivredno-prehrambenom sektoru. Ipak, subjekti male privrede u Federacije BiH nisu dovoljno upoznati sa navedenim pristupom te se kao razvojna potreba nameće potreba za jačanjem kapaciteta predstavnika MSP-a za analizu mogućnosti i primjenu principa cirkularne ekonomije u poslovanje, čemu svakako mogu doprinijeti i aktivnosti i mjere usmjereni kao eko-inovacijama a planirani u relevatnim strateškim i operativnim dokumentima na nivou FBiH.</w:t>
      </w:r>
    </w:p>
    <w:p w14:paraId="621837F4"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Na nivou Federacije BiH ne postoji tijelo koje koordinira “zelene” politike za MSP kao ni pripadajuće fondove. Federalna strategija zaštite okoliša za period 2022.-2032. koju je izradilo Federalno ministarstvo okoliša i turizma FBiH a koju je usvojila Vlada FBiH u septembru 2022. godine kao jedan od prioriteta utvrđuje prioritet “Osigurati visok nivo međusektorskog i intersektorskog sinergijskog djelovanja i integracije javnih okolišnih politika” u okviru kojeg je planirana uspostava koordinirajućeg tijela za rodnu ravnopravnost i okoliš kako bi se osigurala sinhronizacija pristupa, između ostalog i u podršci MSP u ovoj oblasti, uvažavajući interresorni karakter oblasti. Izuzetno aktivna u polju energetske efikasnosti za mala i srednja preduzeće jeste Privredna komora FBiH, koja posebno kroz svoj Sektor energetike, kao i kroz strukovnu asocijaciju Udruženje  za obnovljive izvore energije (UOIE),  učestvuje u projektima u oblasti obnovljivih izvora energije. </w:t>
      </w:r>
    </w:p>
    <w:p w14:paraId="56277883" w14:textId="629CA0D2" w:rsidR="00E440CE" w:rsidRDefault="003422A9">
      <w:pPr>
        <w:jc w:val="both"/>
        <w:rPr>
          <w:rFonts w:asciiTheme="majorHAnsi" w:hAnsiTheme="majorHAnsi" w:cstheme="majorHAnsi"/>
        </w:rPr>
      </w:pPr>
      <w:r w:rsidRPr="00ED7B99">
        <w:rPr>
          <w:rFonts w:asciiTheme="majorHAnsi" w:hAnsiTheme="majorHAnsi" w:cstheme="majorHAnsi"/>
        </w:rPr>
        <w:t xml:space="preserve">Iako je novi Zakon o zaštiti okoliša FBiH (“Službene novine FBiH” broj 15/21), propisao uspostavu sistema dodjele eko-oznaka radi promovisanja izrade, proizvodnje, marketinga i upotrebe proizvoda sa smanjenim uticajem na okoliš u odnosu na ukupan period trajanja tog proizvoda, te radi bolje informisanosti potrošača o uticaju proizvoda na okoliš, još uvijek nisu zabillježene dodijeljene eko oznake u FBiH, ukazujući na potrebu dalje promocije značaja </w:t>
      </w:r>
      <w:r w:rsidRPr="00ED7B99">
        <w:rPr>
          <w:rFonts w:asciiTheme="majorHAnsi" w:hAnsiTheme="majorHAnsi" w:cstheme="majorHAnsi"/>
        </w:rPr>
        <w:lastRenderedPageBreak/>
        <w:t xml:space="preserve">primjene standarda kvalitete u ovoj oblasti i sticanja eko oznake, što može biti od velikog značaja za unapređenje konkuretnosti MSP-a kao i usklađivanje sa propisima za njihov izlazak na EU tržište. U kontekstu regulatornog okvira, ovdje je značajno iskanuti i postojanje Pravilnika o donošenju najboljih raspoloživih tehnika kojima se postižu standardi kvaliteta okoliša (“Službene novine FBiH” br. 52/07) koji propisuje najbolje raspoložive tehnike  u formi tehničkih uputa za pogone postrojenja i aktivnosti u brojnim djelatnostima u kojima djeluju subjekti male privrede u FBiH (tekstilna, kožna, drvna, papirna, prehrambena industrija i dr.). </w:t>
      </w:r>
    </w:p>
    <w:p w14:paraId="43471082" w14:textId="77777777" w:rsidR="00E440CE" w:rsidRPr="00ED7B99" w:rsidRDefault="003422A9" w:rsidP="00936783">
      <w:pPr>
        <w:pStyle w:val="Heading3"/>
        <w:numPr>
          <w:ilvl w:val="2"/>
          <w:numId w:val="13"/>
        </w:numPr>
        <w:rPr>
          <w:rFonts w:asciiTheme="majorHAnsi" w:eastAsia="Calibri" w:hAnsiTheme="majorHAnsi" w:cstheme="majorHAnsi"/>
        </w:rPr>
      </w:pPr>
      <w:bookmarkStart w:id="24" w:name="_Toc117458928"/>
      <w:r w:rsidRPr="00ED7B99">
        <w:rPr>
          <w:rFonts w:asciiTheme="majorHAnsi" w:eastAsia="Calibri" w:hAnsiTheme="majorHAnsi" w:cstheme="majorHAnsi"/>
        </w:rPr>
        <w:t>Internacionalizacija MSP (SBA dimenzija 10)</w:t>
      </w:r>
      <w:bookmarkEnd w:id="24"/>
    </w:p>
    <w:p w14:paraId="185119AE" w14:textId="77777777" w:rsidR="00E440CE" w:rsidRPr="00ED7B99" w:rsidRDefault="00E440CE">
      <w:pPr>
        <w:rPr>
          <w:rFonts w:asciiTheme="majorHAnsi" w:hAnsiTheme="majorHAnsi" w:cstheme="majorHAnsi"/>
        </w:rPr>
      </w:pPr>
    </w:p>
    <w:p w14:paraId="7A52E280"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Internacionalizacija poslovanja određenog preduzeća stepen je u razvoju preduzeća ali svakako i poticaj za unapređenje produktivnosti, konkuretnosti i inovativnosti i ovakva preduzeća predstavljaju značajan segment doprinosa privrednom razvoju zemlje. Kao i prethodna oblast, tako je i podrška internacionalizaciji poslovanja MSP prepoznata kao jedan od prioriteta u okviru Strategije razvoja Federacije BiH za period 2021.-2027. godina i to prioritet 1.4. Podržavati izvoz i stvaranje proizvoda više dodane vrijednosti te mjeru Jačati internacionalizaciju i uključivanje u globalne lance vrijednosti u okviru koje se posebno stavlja naglasak na </w:t>
      </w:r>
      <w:bookmarkStart w:id="25" w:name="_Hlk115294460"/>
      <w:r w:rsidRPr="00ED7B99">
        <w:rPr>
          <w:rFonts w:asciiTheme="majorHAnsi" w:hAnsiTheme="majorHAnsi" w:cstheme="majorHAnsi"/>
        </w:rPr>
        <w:t>pametnu specijalizaciju regija, prepoznavanje strateških privrednih oblasti koje će podržati pametnu specijalizaciju uvažavanje određenih kriterija za strateške oblasti kao što je orijentiranost na izvoz, tehnička opremljenost rada, tehnološki sadržaj proizvoda, ulaganja u istraživanja i razvoj i dr. uz podršku automobilskoj industriji da se pripremi za nove trendove (električna i autonomna vozila i sl.) i uspostavi regionalnih lanaca vrijednosti u zelenoj i kružnoj ekonomiji te osigurati bolje informisanosti privrednih subjekata o tržišnim uslovima, zahtjevima i preferencijama potrošača na izvoznim tržištima.</w:t>
      </w:r>
    </w:p>
    <w:bookmarkEnd w:id="25"/>
    <w:p w14:paraId="58C854D7"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Promociju izvoza na nivou Federacije BiH vrši Vanjskotrgovinska komora BiH koja ja ujedno i koordinirajuće tijelo na nivou FBiH za Europsku poduzetničku mrežu (EEN), projekat EU namjenjen malim i srednjim preduzećima kao podrška i servis u internacionalizaciji njihovog poslovanja. Konzorcij Europske poduzetničke mreže u Federaciji Bosne i Hercegovine sačinjava Vanjskotrgovinska komora Bosne i Hercegovine kao koordinator dok su partneri Sarajevska regionalna razvojna agencija SERDA, Univerzitet u Sarajevu, INTERA Tehnološki park Mostar, BIT centar Tuzla, Zenička razvojna agencija ZEDA te Razvojna agencija Unsko-sanskog kantona RA-USK</w:t>
      </w:r>
      <w:r w:rsidRPr="00ED7B99">
        <w:rPr>
          <w:rFonts w:asciiTheme="majorHAnsi" w:hAnsiTheme="majorHAnsi" w:cstheme="majorHAnsi"/>
          <w:color w:val="333333"/>
        </w:rPr>
        <w:t xml:space="preserve">. </w:t>
      </w:r>
      <w:r w:rsidRPr="00ED7B99">
        <w:rPr>
          <w:rFonts w:asciiTheme="majorHAnsi" w:hAnsiTheme="majorHAnsi" w:cstheme="majorHAnsi"/>
        </w:rPr>
        <w:t xml:space="preserve">EEN pruža podršku u internacionalizaciji poslovanja, kroz poslovno povezivanje sa ino partnerima, organizaciju poslovnih susreta, informisanje o poslovnim ponudama inostranih kompanija, te bazu poslovne saradnje EEN. EEN nudi i usluge poslovnog savjetovanja, podršku inovacijama i transferu tehnologija te podršku istraživanju i razvoju. Kroz EEN moguće je pronaći i potencijalne partnere za kolaborativne programe EU kao što je HORIZON i dr. </w:t>
      </w:r>
    </w:p>
    <w:p w14:paraId="6BD071DA" w14:textId="77777777" w:rsidR="00E440CE" w:rsidRPr="00ED7B99" w:rsidRDefault="003422A9">
      <w:pPr>
        <w:jc w:val="both"/>
        <w:rPr>
          <w:rFonts w:asciiTheme="majorHAnsi" w:hAnsiTheme="majorHAnsi" w:cstheme="majorHAnsi"/>
          <w:color w:val="FF0000"/>
          <w:highlight w:val="yellow"/>
        </w:rPr>
      </w:pPr>
      <w:r w:rsidRPr="00ED7B99">
        <w:rPr>
          <w:rFonts w:asciiTheme="majorHAnsi" w:hAnsiTheme="majorHAnsi" w:cstheme="majorHAnsi"/>
        </w:rPr>
        <w:t>Agencija za promociju stranih investicija u BiH (FIPA) ima mandat fokusiran na privlačenje i promociju stranih investicija u BiH, radeći na pripremi sektorskih studija, podržava uspostavu kontakta između privatnog  i javnog sektora, potiče saradnju na unapređenju investicione klime, ali sa druge strane djeluje više informativno i savjetodavno za investitore.</w:t>
      </w:r>
    </w:p>
    <w:p w14:paraId="36ACAFB5"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U okviru svog godišnjeg programa poticaja i programa “Jačanje konkuretnosti MSP” Federalno ministarstvo razvoja, poduzetništva i obrta pruža podršku MSP, između ostalog, i u internacionalizaciji poslovanja, dok organizovane nastupe i podršku nastupu na </w:t>
      </w:r>
      <w:r w:rsidRPr="00ED7B99">
        <w:rPr>
          <w:rFonts w:asciiTheme="majorHAnsi" w:hAnsiTheme="majorHAnsi" w:cstheme="majorHAnsi"/>
        </w:rPr>
        <w:lastRenderedPageBreak/>
        <w:t>sajmovima u zemlji i inostranstvu u najvećoj mjeri pružaju Privredna komora FBiH kao i privredne komore na kantonalnom nivou.</w:t>
      </w:r>
    </w:p>
    <w:p w14:paraId="19DD81CE"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U kontekstu internacionalizacije poslovanja, potrebno je istaži da je novi Zakon o obrtu i srodnim djelatnostima Federacije BiH omogućio vanjskotrgovinsko poslovanje za ove subjekte male privrede, što do donošenja novog Zakona nije bilo moguće. Iako je Zakon u primjeni od 2021. godine, izvozne aktivnosti obrtnika su i dalje na prilično niskom nivou što je i za očekivati s obzirom na potrebu prilagodbe sistema primjene novog Zakona ali i samih obrtnika. </w:t>
      </w:r>
    </w:p>
    <w:p w14:paraId="0B6097F7"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Iako postoji i strateško i programsko opredjeljenje na nivou Federacije BiH za uspostavom infrastrukture i poticanje e-trgovine i e-plaćanja, a posebno nakon COVID 19 pandemije, još uvijek ne postoji niti regulatorni okvir, kao ni jasan plan za izgradnju navedene infrastrukture, te se kao razvojna potreba ukazuje neophodnost pokretanja aktivnosti na izgradnji infrastrukture za e-trgovinu i eplaćanja, osmišljavanje i realizaciju programa promocije e-trgovine kao i povećanjem dostupnih fondova za navedene namjene. </w:t>
      </w:r>
    </w:p>
    <w:p w14:paraId="464C19A8" w14:textId="77777777" w:rsidR="00E440CE" w:rsidRPr="00ED7B99" w:rsidRDefault="003422A9" w:rsidP="00936783">
      <w:pPr>
        <w:pStyle w:val="Heading3"/>
        <w:numPr>
          <w:ilvl w:val="2"/>
          <w:numId w:val="13"/>
        </w:numPr>
        <w:rPr>
          <w:rFonts w:asciiTheme="majorHAnsi" w:eastAsia="Calibri" w:hAnsiTheme="majorHAnsi" w:cstheme="majorHAnsi"/>
        </w:rPr>
      </w:pPr>
      <w:bookmarkStart w:id="26" w:name="_Toc117458929"/>
      <w:r w:rsidRPr="00ED7B99">
        <w:rPr>
          <w:rFonts w:asciiTheme="majorHAnsi" w:eastAsia="Calibri" w:hAnsiTheme="majorHAnsi" w:cstheme="majorHAnsi"/>
        </w:rPr>
        <w:t>Razvoj poduzetničke infrastrukture</w:t>
      </w:r>
      <w:bookmarkEnd w:id="26"/>
      <w:r w:rsidRPr="00ED7B99">
        <w:rPr>
          <w:rFonts w:asciiTheme="majorHAnsi" w:eastAsia="Calibri" w:hAnsiTheme="majorHAnsi" w:cstheme="majorHAnsi"/>
        </w:rPr>
        <w:t xml:space="preserve"> </w:t>
      </w:r>
    </w:p>
    <w:p w14:paraId="70811B31" w14:textId="77777777" w:rsidR="00E440CE" w:rsidRPr="00ED7B99" w:rsidRDefault="00E440CE">
      <w:pPr>
        <w:spacing w:line="240" w:lineRule="auto"/>
        <w:jc w:val="both"/>
        <w:rPr>
          <w:rFonts w:asciiTheme="majorHAnsi" w:hAnsiTheme="majorHAnsi" w:cstheme="majorHAnsi"/>
        </w:rPr>
      </w:pPr>
    </w:p>
    <w:p w14:paraId="23FD2CD9" w14:textId="77777777" w:rsidR="00EC50EA" w:rsidRPr="00ED7B99" w:rsidRDefault="00EC50EA" w:rsidP="00EC50EA">
      <w:pPr>
        <w:jc w:val="both"/>
        <w:rPr>
          <w:rFonts w:asciiTheme="majorHAnsi" w:hAnsiTheme="majorHAnsi" w:cstheme="majorHAnsi"/>
        </w:rPr>
      </w:pPr>
      <w:r w:rsidRPr="00ED7B99">
        <w:rPr>
          <w:rFonts w:asciiTheme="majorHAnsi" w:hAnsiTheme="majorHAnsi" w:cstheme="majorHAnsi"/>
        </w:rPr>
        <w:t>Za povoljan privredni ambijent je, između ostalog, neophodno imati dobro razvijenu poduzetničku infrastrukturu, ulaganjem u koju se direktno potiče ravnomjerni regionalni razvoj, brži razvoj privrede, privlačenje investicija i povećanje stope zaposlenosti.  Institucije poduzetničke infrastrukture mogu se osnovati na inicijativu različitih razina vlasti ili na inicijativu pojedinaca i skupina zainteresiranih subjekata, ali u oba slučaja radi se o jednako važnim institucijama koje kvalitetnom podrškom maloj privredi u konačnici doprinose održivom razvoju društva. Da bi privrednim subjektima bila privlačnija poduzetnička infrastruktura bilo bi potrebno da ista ima što atraktivniju lokaciju, dobru saobraćajnu povezanost i  izgrađenu infrastrukturu. Osim navedenih faktora koji privlače investitore u poduzetničku infrastrukturu, veoma je bitan efikasan administrativni aparat na svim nivoima vlasti, kao i sistem olakšica za poslovanje na teritoriji date jedinice lokalne zajednice (JLS), ali i na entitetskom i državnom nivou.</w:t>
      </w:r>
    </w:p>
    <w:p w14:paraId="42AE5906" w14:textId="77777777" w:rsidR="009972A2" w:rsidRPr="00ED7B99" w:rsidRDefault="00EC50EA" w:rsidP="00EC50EA">
      <w:pPr>
        <w:spacing w:line="276" w:lineRule="auto"/>
        <w:jc w:val="both"/>
        <w:rPr>
          <w:rFonts w:asciiTheme="majorHAnsi" w:hAnsiTheme="majorHAnsi" w:cstheme="majorHAnsi"/>
          <w:color w:val="1F1A17"/>
        </w:rPr>
      </w:pPr>
      <w:r w:rsidRPr="00ED7B99">
        <w:rPr>
          <w:rFonts w:asciiTheme="majorHAnsi" w:hAnsiTheme="majorHAnsi" w:cstheme="majorHAnsi"/>
        </w:rPr>
        <w:t>Federalno ministarstvo razvoja, poduzetništva i obrta kontinuirano sprovodi mjere unapređenje oblasti poduzetničke infrastrukture na nivou Federacije BiH. Uvažavajući značaj i potrebu unapređenja regulatornog okvira u oblasti poduzetničke infrastrukture, Ministarstvo je sprovelo potrebne procedure izrade Zakona o poduzetničkoj infrastrukturi čiji je nacrt usvojen od strane Doma naroda Parlamenta FBiH</w:t>
      </w:r>
      <w:r w:rsidR="009972A2" w:rsidRPr="00ED7B99">
        <w:rPr>
          <w:rFonts w:asciiTheme="majorHAnsi" w:hAnsiTheme="majorHAnsi" w:cstheme="majorHAnsi"/>
        </w:rPr>
        <w:t xml:space="preserve"> i </w:t>
      </w:r>
      <w:r w:rsidR="009972A2" w:rsidRPr="00ED7B99">
        <w:rPr>
          <w:rFonts w:asciiTheme="majorHAnsi" w:hAnsiTheme="majorHAnsi" w:cstheme="majorHAnsi"/>
          <w:color w:val="1F1A17"/>
        </w:rPr>
        <w:t>Predstavničkog doma Parlamenta FBiH, te je nakon analiza pristiglih primjedbi i sugestija prijedlog zakona upućen na mišljenje nadležnih institucija, čija mišljenja se očekuju prije upućivanja Vladi FBiH na razmatranje.</w:t>
      </w:r>
    </w:p>
    <w:p w14:paraId="359A0D01" w14:textId="286C33B5" w:rsidR="00E440CE" w:rsidRPr="00ED7B99" w:rsidRDefault="003422A9">
      <w:pPr>
        <w:jc w:val="both"/>
        <w:rPr>
          <w:rFonts w:asciiTheme="majorHAnsi" w:hAnsiTheme="majorHAnsi" w:cstheme="majorHAnsi"/>
        </w:rPr>
      </w:pPr>
      <w:r w:rsidRPr="00ED7B99">
        <w:rPr>
          <w:rFonts w:asciiTheme="majorHAnsi" w:hAnsiTheme="majorHAnsi" w:cstheme="majorHAnsi"/>
        </w:rPr>
        <w:t xml:space="preserve">Rad na unapređenju regulatornog okvira u oblasti poduzetničke infrastrukture nastavak je aktivnosti unapređenja cjelokupne poduzetničke infrastrukture u Federaciji BiH. Naime, Federalno ministarstvo razvoja, poduzetništva i obrta u proteklom periodu sprovodilo je i dalje sprovodi aktivnosti na poticanju uspostave subjekata poduzetničke infrastrukture odnosno poduzetničkih zona i poduzetničkih potpornih institucija,  te se na godišnjem nivou sprovodi program poticaja za općine i gradove u FBiH za izgradnju poduzetničkih zona kao i program podrške za unapređenje institucijske poduzetničke infrastrukture za poduzetničke </w:t>
      </w:r>
      <w:r w:rsidRPr="00ED7B99">
        <w:rPr>
          <w:rFonts w:asciiTheme="majorHAnsi" w:hAnsiTheme="majorHAnsi" w:cstheme="majorHAnsi"/>
        </w:rPr>
        <w:lastRenderedPageBreak/>
        <w:t xml:space="preserve">potporne institucije s područja Federacije Bosne i Hercegovine (poduzetnički inkubatori, tehnološki parkovi, akceleratori, poduzetnički centri, klasteri i razvojne agencije). Od 2016. do 2019. godine podržano je ukupno 57 općina i gradova u FBiH za izgradnju poduzetničkih zona vrijednosti od preko 10 miliona KM, dok su 32 poduzetničke potporne institucije podržane sa preko 400.000 KM za podršku realizaciji projekata i aktivnosti. I u 2022. godini kada je nastavljeno sa programom podrške za ove namjene, Ministarstvo je dodjelilo sredstva za 13 JLS u FBiH za izgradnju poduzetničkih zona, za 5 JLS za izradu dokumentacije za uspostavljanje poduzetničke zone te za 7 poduzetničkih potpornih institucija. </w:t>
      </w:r>
    </w:p>
    <w:p w14:paraId="71F1A053" w14:textId="77777777" w:rsidR="00E440CE" w:rsidRPr="00ED7B99" w:rsidRDefault="003422A9">
      <w:pPr>
        <w:spacing w:before="240" w:after="0"/>
        <w:jc w:val="both"/>
        <w:rPr>
          <w:rFonts w:asciiTheme="majorHAnsi" w:hAnsiTheme="majorHAnsi" w:cstheme="majorHAnsi"/>
        </w:rPr>
      </w:pPr>
      <w:r w:rsidRPr="00ED7B99">
        <w:rPr>
          <w:rFonts w:asciiTheme="majorHAnsi" w:hAnsiTheme="majorHAnsi" w:cstheme="majorHAnsi"/>
        </w:rPr>
        <w:t>Federalno ministarstvo razvoja, poduzetništva i obrta 2018. godine uspostavilo je Informacioni sistem sa web portalom poduzetničkih zona u Federaciji BiH u saradnji sa međunarodnom organizacijom CRS uz finansiranje USAID-a. Pored njih, značajnu podršku je pružio UNDP BiH u smislu organizovanja i održavanja obuka za timove lokalnih zajednica zaduženih za rad na unosu podataka u predmetni informacioni sistem, kao i kroz angažovanje stručnih kadrova za početni unos podataka u ovaj registar. Portal</w:t>
      </w:r>
      <w:hyperlink r:id="rId11">
        <w:r w:rsidRPr="00ED7B99">
          <w:rPr>
            <w:rFonts w:asciiTheme="majorHAnsi" w:hAnsiTheme="majorHAnsi" w:cstheme="majorHAnsi"/>
          </w:rPr>
          <w:t xml:space="preserve"> </w:t>
        </w:r>
      </w:hyperlink>
      <w:hyperlink r:id="rId12">
        <w:r w:rsidRPr="00ED7B99">
          <w:rPr>
            <w:rFonts w:asciiTheme="majorHAnsi" w:hAnsiTheme="majorHAnsi" w:cstheme="majorHAnsi"/>
            <w:color w:val="1155CC"/>
            <w:u w:val="single"/>
          </w:rPr>
          <w:t>www.zonefbih.gov.ba</w:t>
        </w:r>
      </w:hyperlink>
      <w:r w:rsidRPr="00ED7B99">
        <w:rPr>
          <w:rFonts w:asciiTheme="majorHAnsi" w:hAnsiTheme="majorHAnsi" w:cstheme="majorHAnsi"/>
        </w:rPr>
        <w:t xml:space="preserve"> se kontinuirano nadograđuje, te je Ministarstvo potpisalo bitne akte sa federalnim institucijama kao što su Ministarstvo pravde FBiH, Porezna uprava FBiH, Finansijsko-informatička agencija (FIA), Federalna uprava za geodetske i imovinsko-pravne poslove  kojim je definisan obim i način dostavljanja relevantnih podataka za potrebe informacionog sistema. Razmjena podataka će se u narednom periodu odvijati putem Interoperabilnog informacionog sistema-kontakt tačke u Generalnom sekretarijatu Vlade Federacije BiH, zbog čega je FMRPO, u prethodnom periodu, sprovelo niz proceduralnih aktivnosti, ali i obezbijedilo neophodne materijalne preduslove.</w:t>
      </w:r>
    </w:p>
    <w:p w14:paraId="5DA07C7F" w14:textId="77777777" w:rsidR="00E440CE" w:rsidRPr="00ED7B99" w:rsidRDefault="003422A9">
      <w:pPr>
        <w:spacing w:before="240" w:after="0"/>
        <w:jc w:val="both"/>
        <w:rPr>
          <w:rFonts w:asciiTheme="majorHAnsi" w:hAnsiTheme="majorHAnsi" w:cstheme="majorHAnsi"/>
        </w:rPr>
      </w:pPr>
      <w:r w:rsidRPr="00ED7B99">
        <w:rPr>
          <w:rFonts w:asciiTheme="majorHAnsi" w:hAnsiTheme="majorHAnsi" w:cstheme="majorHAnsi"/>
        </w:rPr>
        <w:t>Ovaj portal bi na jednom mjestu trebao da nudi sve neophodne informacije o poslovnim zonama kao što su njhove lokacije, prometnu povezanost, veličinu zona i slobodne površine, kao i sve povlastice koje odgovarajuća lokalna zajednica nudi domaćim i stranim investitorima. Navedeni portal poduzetničkih zona u Federaciji BiH se može shvatiti kao prilika svim JLS da promoviraju svoju usluge za buduće investitore. Naime, prema pokazateljima iz prve godine postojanja ovog portala, isti je posjećen od strane korisnika  iz preko 100 zemalja svijeta, što je jasan pokazatelja značaja ovog projekta.</w:t>
      </w:r>
    </w:p>
    <w:p w14:paraId="70D50726" w14:textId="77777777" w:rsidR="00E440CE" w:rsidRPr="00ED7B99" w:rsidRDefault="003422A9">
      <w:pPr>
        <w:spacing w:before="240" w:after="0"/>
        <w:jc w:val="both"/>
        <w:rPr>
          <w:rFonts w:asciiTheme="majorHAnsi" w:hAnsiTheme="majorHAnsi" w:cstheme="majorHAnsi"/>
        </w:rPr>
      </w:pPr>
      <w:r w:rsidRPr="00ED7B99">
        <w:rPr>
          <w:rFonts w:asciiTheme="majorHAnsi" w:hAnsiTheme="majorHAnsi" w:cstheme="majorHAnsi"/>
        </w:rPr>
        <w:t>Realizacijom ovog projekta Federalnom ministarstvu razvoja, poduzetništva i obrta, ali i nižim nivoima vlasti i upraviteljima poduzetničkih zona će se omogućiti detaljno analiziranje stanja poduzetničkih zona, njihova promocija, kao i otvoriti mogućnost budućih planskih ulaganja u razvoj ove oblasti i time dodatno potaknuti razvoj privrede Federacije Bosne i Hercegovine. Potencijalni investitori, koristeći web portal, će dobiti centralno mjesto na kome će doći do potrebnih informacija o početku poslovanja u zonama, kao i ažurne informacije o aktuelnim dešavanjima, promocijama, olakšicama za pokretanje biznisa u poduzetničkim zonama na području Federacije Bosne i Hercegovine.</w:t>
      </w:r>
    </w:p>
    <w:p w14:paraId="3780360A" w14:textId="77777777" w:rsidR="00E440CE" w:rsidRPr="00ED7B99" w:rsidRDefault="003422A9">
      <w:pPr>
        <w:spacing w:before="240" w:after="0"/>
        <w:jc w:val="both"/>
        <w:rPr>
          <w:rFonts w:asciiTheme="majorHAnsi" w:hAnsiTheme="majorHAnsi" w:cstheme="majorHAnsi"/>
        </w:rPr>
      </w:pPr>
      <w:r w:rsidRPr="00ED7B99">
        <w:rPr>
          <w:rFonts w:asciiTheme="majorHAnsi" w:hAnsiTheme="majorHAnsi" w:cstheme="majorHAnsi"/>
        </w:rPr>
        <w:t>Ovaj informacioni sistem bi, kada bude redovno ažuriran traženim podacima, kao rezultat trebao imati kreiranu jedinstvenu informacionu bazu poduzetničke infrastrukture i uspostavljen web portal poduzetničkih zona u Federaciji Bosne i Hercegovine.</w:t>
      </w:r>
    </w:p>
    <w:p w14:paraId="4CA5F393" w14:textId="77777777" w:rsidR="00E440CE" w:rsidRPr="00ED7B99" w:rsidRDefault="003422A9">
      <w:pPr>
        <w:spacing w:before="240" w:after="0"/>
        <w:jc w:val="both"/>
        <w:rPr>
          <w:rFonts w:asciiTheme="majorHAnsi" w:hAnsiTheme="majorHAnsi" w:cstheme="majorHAnsi"/>
        </w:rPr>
      </w:pPr>
      <w:r w:rsidRPr="00ED7B99">
        <w:rPr>
          <w:rFonts w:asciiTheme="majorHAnsi" w:hAnsiTheme="majorHAnsi" w:cstheme="majorHAnsi"/>
        </w:rPr>
        <w:t xml:space="preserve">Jedna od poteškoća u dosadašnjem radu odnosila se na punjenje registra podacima sa lokalnog nivoa tj. od strane timova lokalnih zajednica., koji bi trebali da redovno ažuriraju sve relevantne podatke vezane ne samo za poduzetničke zone nego i bilo koje druge </w:t>
      </w:r>
      <w:r w:rsidRPr="00ED7B99">
        <w:rPr>
          <w:rFonts w:asciiTheme="majorHAnsi" w:hAnsiTheme="majorHAnsi" w:cstheme="majorHAnsi"/>
        </w:rPr>
        <w:lastRenderedPageBreak/>
        <w:t>aktivnosti lokalne administracije koje imaju cilj pružanja potrebnih informacija ili pogodnosti za postojeće ili buduće investitore. Dinamika odgovora JLS po pitanju ažuriranja portala je bila promjenljiva u proteklom periodu i jasna razvojna potreba u navedenom kontekstu u narednom periodu svakako je neophodnost regulatornog definisanja potrebe i obaveze ažuiranja podataka u registru.</w:t>
      </w:r>
    </w:p>
    <w:p w14:paraId="157E355B" w14:textId="77777777" w:rsidR="00FF4CD0" w:rsidRPr="00ED7B99" w:rsidRDefault="00FF4CD0">
      <w:pPr>
        <w:spacing w:before="240" w:after="0"/>
        <w:jc w:val="both"/>
        <w:rPr>
          <w:rFonts w:asciiTheme="majorHAnsi" w:hAnsiTheme="majorHAnsi" w:cstheme="majorHAnsi"/>
        </w:rPr>
      </w:pPr>
      <w:r w:rsidRPr="00ED7B99">
        <w:rPr>
          <w:rFonts w:asciiTheme="majorHAnsi" w:hAnsiTheme="majorHAnsi" w:cstheme="majorHAnsi"/>
          <w:u w:val="single"/>
        </w:rPr>
        <w:t>Poduzetničke zone</w:t>
      </w:r>
      <w:r w:rsidRPr="00ED7B99">
        <w:rPr>
          <w:rFonts w:asciiTheme="majorHAnsi" w:hAnsiTheme="majorHAnsi" w:cstheme="majorHAnsi"/>
        </w:rPr>
        <w:t xml:space="preserve"> predstavljaju poduzetničku infrastrukturu u užem smislu i one su infrastrukturno  opremljena područja koja odgovaraju zahtjevima poduzetnika, te su prostorno-planskom dokumentacijom predviđene za obavljanje određene vrste privredne djelatnosti. Karakteriše ih zajedničko korištenje organizovanog i opremljenog prostora od strane sličnih poslovnih subjekata, kojima se, s obzirom na afinitete i potrebe, “boravkom” u zoni otvara mogućnost saradnje i poslovnog povezivanja/umrežavanja, racionalizacija poslovanja u pojedinim segmentima te korištenje raspoloživih resursa zajedno sa ostalim korisnicima u zoni. </w:t>
      </w:r>
    </w:p>
    <w:p w14:paraId="25D1AD91" w14:textId="77777777" w:rsidR="00FF4CD0" w:rsidRPr="00ED7B99" w:rsidRDefault="00FF4CD0" w:rsidP="00FF4CD0">
      <w:pPr>
        <w:pStyle w:val="Default"/>
        <w:jc w:val="both"/>
        <w:rPr>
          <w:rFonts w:asciiTheme="majorHAnsi" w:eastAsia="Calibri" w:hAnsiTheme="majorHAnsi" w:cstheme="majorHAnsi"/>
          <w:color w:val="auto"/>
          <w:sz w:val="22"/>
          <w:szCs w:val="22"/>
          <w:lang w:val="bs-Latn-BA" w:eastAsia="bs-Latn-BA"/>
        </w:rPr>
      </w:pPr>
    </w:p>
    <w:p w14:paraId="77FC4E6B" w14:textId="77777777" w:rsidR="00FF4CD0" w:rsidRPr="00ED7B99" w:rsidRDefault="00FF4CD0" w:rsidP="00C3526B">
      <w:pPr>
        <w:pStyle w:val="Default"/>
        <w:spacing w:line="276" w:lineRule="auto"/>
        <w:jc w:val="both"/>
        <w:rPr>
          <w:rFonts w:asciiTheme="majorHAnsi" w:eastAsia="Calibri" w:hAnsiTheme="majorHAnsi" w:cstheme="majorHAnsi"/>
          <w:color w:val="auto"/>
          <w:sz w:val="22"/>
          <w:szCs w:val="22"/>
          <w:lang w:val="bs-Latn-BA" w:eastAsia="bs-Latn-BA"/>
        </w:rPr>
      </w:pPr>
      <w:r w:rsidRPr="00ED7B99">
        <w:rPr>
          <w:rFonts w:asciiTheme="majorHAnsi" w:eastAsia="Calibri" w:hAnsiTheme="majorHAnsi" w:cstheme="majorHAnsi"/>
          <w:color w:val="auto"/>
          <w:sz w:val="22"/>
          <w:szCs w:val="22"/>
          <w:lang w:val="bs-Latn-BA" w:eastAsia="bs-Latn-BA"/>
        </w:rPr>
        <w:t xml:space="preserve">Prema podacima iz Informacije o stanju poduzetničke infrastrukture u Federaciji BiH iz 2020. godine, a prema raspoloživim podacima iz Informacionog sistema sa web portalom poduzetničkih zona zasnovanih na informacijama koje su dostavile JLS, trenutno u FBiH postoji 130 verifikovanih poduzetničkih zona </w:t>
      </w:r>
      <w:r w:rsidRPr="00ED7B99">
        <w:rPr>
          <w:rFonts w:asciiTheme="majorHAnsi" w:eastAsia="Calibri" w:hAnsiTheme="majorHAnsi" w:cstheme="majorHAnsi"/>
          <w:sz w:val="22"/>
          <w:szCs w:val="22"/>
          <w:lang w:val="bs-Latn-BA"/>
        </w:rPr>
        <w:t>u kojima posluje preko 1.120 poslovnih subjekata</w:t>
      </w:r>
      <w:r w:rsidRPr="00ED7B99">
        <w:rPr>
          <w:rFonts w:asciiTheme="majorHAnsi" w:eastAsia="Calibri" w:hAnsiTheme="majorHAnsi" w:cstheme="majorHAnsi"/>
          <w:color w:val="auto"/>
          <w:sz w:val="22"/>
          <w:szCs w:val="22"/>
          <w:lang w:val="bs-Latn-BA" w:eastAsia="bs-Latn-BA"/>
        </w:rPr>
        <w:t>. Verifikovane poduzetničke zone su one zone za koje su JLS donijele odluku o osnivanje poduzetničke zone. Od ovog broja njih 18 nisu aktivne, dok je kod ostalih zona stepen aktivacije različit i kreće se od potpuno aktivnih do onih koje su se tek počele puniti privrednim subjektima.</w:t>
      </w:r>
    </w:p>
    <w:p w14:paraId="6D3754F6" w14:textId="77777777" w:rsidR="008F61D4" w:rsidRPr="00ED7B99" w:rsidRDefault="003422A9">
      <w:pPr>
        <w:jc w:val="both"/>
        <w:rPr>
          <w:rFonts w:asciiTheme="majorHAnsi" w:hAnsiTheme="majorHAnsi" w:cstheme="majorHAnsi"/>
          <w:sz w:val="24"/>
          <w:szCs w:val="24"/>
        </w:rPr>
      </w:pPr>
      <w:r w:rsidRPr="00ED7B99">
        <w:rPr>
          <w:rFonts w:asciiTheme="majorHAnsi" w:hAnsiTheme="majorHAnsi" w:cstheme="majorHAnsi"/>
        </w:rPr>
        <w:t xml:space="preserve">Karaktersitike </w:t>
      </w:r>
      <w:r w:rsidR="00FF4CD0" w:rsidRPr="00ED7B99">
        <w:rPr>
          <w:rFonts w:asciiTheme="majorHAnsi" w:hAnsiTheme="majorHAnsi" w:cstheme="majorHAnsi"/>
        </w:rPr>
        <w:t>poduzetničkih</w:t>
      </w:r>
      <w:r w:rsidRPr="00ED7B99">
        <w:rPr>
          <w:rFonts w:asciiTheme="majorHAnsi" w:hAnsiTheme="majorHAnsi" w:cstheme="majorHAnsi"/>
        </w:rPr>
        <w:t xml:space="preserve"> zona u Federaciji BiH su uglavnom da još uvijek u brojnim zonama u Federaciji BiH nije urađena osnovna infrastruktura (saobraćajnice, sistemi snabdijevanja električnom energijom, </w:t>
      </w:r>
      <w:r w:rsidR="008F61D4" w:rsidRPr="00ED7B99">
        <w:rPr>
          <w:rFonts w:asciiTheme="majorHAnsi" w:hAnsiTheme="majorHAnsi" w:cstheme="majorHAnsi"/>
        </w:rPr>
        <w:t>snabdijevanja</w:t>
      </w:r>
      <w:r w:rsidRPr="00ED7B99">
        <w:rPr>
          <w:rFonts w:asciiTheme="majorHAnsi" w:hAnsiTheme="majorHAnsi" w:cstheme="majorHAnsi"/>
        </w:rPr>
        <w:t xml:space="preserve"> vodom i sl.), ili pak postoje problemi imovinsko-pravne prirode. </w:t>
      </w:r>
      <w:r w:rsidR="008F61D4" w:rsidRPr="00ED7B99">
        <w:rPr>
          <w:rFonts w:asciiTheme="majorHAnsi" w:hAnsiTheme="majorHAnsi" w:cstheme="majorHAnsi"/>
        </w:rPr>
        <w:t>Prosječna površina poduzetničkih zona u FBiH je 30 ha, a broj potpuno aktivnih zona u FBiH iznosi 20, dok je iskorištenost zemljišta oko 55%.</w:t>
      </w:r>
      <w:r w:rsidR="008F61D4" w:rsidRPr="00ED7B99">
        <w:rPr>
          <w:rFonts w:asciiTheme="majorHAnsi" w:hAnsiTheme="majorHAnsi" w:cstheme="majorHAnsi"/>
          <w:sz w:val="24"/>
          <w:szCs w:val="24"/>
        </w:rPr>
        <w:t xml:space="preserve"> </w:t>
      </w:r>
    </w:p>
    <w:p w14:paraId="7EC35AE6" w14:textId="77777777" w:rsidR="008F61D4" w:rsidRPr="00ED7B99" w:rsidRDefault="008F61D4">
      <w:pPr>
        <w:jc w:val="both"/>
        <w:rPr>
          <w:rFonts w:asciiTheme="majorHAnsi" w:hAnsiTheme="majorHAnsi" w:cstheme="majorHAnsi"/>
        </w:rPr>
      </w:pPr>
      <w:r w:rsidRPr="00ED7B99">
        <w:rPr>
          <w:rFonts w:asciiTheme="majorHAnsi" w:hAnsiTheme="majorHAnsi" w:cstheme="majorHAnsi"/>
        </w:rPr>
        <w:t xml:space="preserve">FMRPO je, u cilju rješavanja problema oko uspostave i upravljanja zonama, u saradnji sa </w:t>
      </w:r>
      <w:r w:rsidRPr="00ED7B99">
        <w:rPr>
          <w:rFonts w:asciiTheme="majorHAnsi" w:hAnsiTheme="majorHAnsi" w:cstheme="majorHAnsi"/>
          <w:bCs/>
        </w:rPr>
        <w:t>Catholic Relief Services</w:t>
      </w:r>
      <w:r w:rsidRPr="00ED7B99">
        <w:rPr>
          <w:rFonts w:asciiTheme="majorHAnsi" w:hAnsiTheme="majorHAnsi" w:cstheme="majorHAnsi"/>
          <w:b/>
          <w:bCs/>
        </w:rPr>
        <w:t xml:space="preserve"> (</w:t>
      </w:r>
      <w:r w:rsidRPr="00ED7B99">
        <w:rPr>
          <w:rFonts w:asciiTheme="majorHAnsi" w:hAnsiTheme="majorHAnsi" w:cstheme="majorHAnsi"/>
        </w:rPr>
        <w:t xml:space="preserve">CRS) izradilo Smjernice za uspostavljanje i upravljanje poslovnim zonama čija je svrha da budu vodilja JLS kao i višim nivoima vlasti kako bi njihovom primjenom kreirale okruženje naklonjeno poslovnoj zajednici i građanima. Koristi od primjene ovih Smjernica za poslovnu zajednicu ogledaju se u poboljšanoj efikasnosti administracije pri kreiranju boljih uslova za širenje poslovanja postojećih privrednika kao i za privlačenje novih investicija kroz uspostavu transparentnog sistema subvencija i podsticaja za razvoj preduzetništva, podršku oko obezbeđivanja radne snage potrebnih kvalifikacija, pripremu investicionih lokacija, podršku investitorima u svim fazama razvoja poslovanja, poboljšane komunalne usluge i sl. </w:t>
      </w:r>
    </w:p>
    <w:p w14:paraId="27831B5F"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Nacrt Zakona o poduzetničkoj infrastrukturi FBiH propisuje minimalnu opremljenost poduzetničke infrastrukture, faze uspostave poduzetničkih zona, kriterije njihove kategorizacije, uspostavu registra poduzetničke infrastrukture, upis i dostavljanaj podataka u registar kao i druga pitanja od značaja za ovu oblast te će njegovo konačno usvajanje i primjena zasigurno doprinijeti uređenju navedene oblasti i učiniti poduzetničku infrastrukturu poticajnim faktorom razvoja male privrede u FBiH. </w:t>
      </w:r>
      <w:r w:rsidRPr="00ED7B99">
        <w:rPr>
          <w:rFonts w:asciiTheme="majorHAnsi" w:hAnsiTheme="majorHAnsi" w:cstheme="majorHAnsi"/>
        </w:rPr>
        <w:tab/>
      </w:r>
    </w:p>
    <w:p w14:paraId="6BBDE20D" w14:textId="77777777" w:rsidR="00E440CE" w:rsidRPr="00ED7B99" w:rsidRDefault="003422A9">
      <w:pPr>
        <w:jc w:val="both"/>
        <w:rPr>
          <w:rFonts w:asciiTheme="majorHAnsi" w:hAnsiTheme="majorHAnsi" w:cstheme="majorHAnsi"/>
        </w:rPr>
      </w:pPr>
      <w:r w:rsidRPr="00ED7B99">
        <w:rPr>
          <w:rFonts w:asciiTheme="majorHAnsi" w:hAnsiTheme="majorHAnsi" w:cstheme="majorHAnsi"/>
          <w:u w:val="single"/>
        </w:rPr>
        <w:lastRenderedPageBreak/>
        <w:t>Sistem poduzetničkih potpornih institucija u FBiH</w:t>
      </w:r>
      <w:r w:rsidRPr="00ED7B99">
        <w:rPr>
          <w:rFonts w:asciiTheme="majorHAnsi" w:hAnsiTheme="majorHAnsi" w:cstheme="majorHAnsi"/>
        </w:rPr>
        <w:t xml:space="preserve"> čine razvojne agencije (lokalne, kantonalne, regionalne, razvojna agencija FBiH i razvojne agencije određene djelatnosti), poduzetnički centri, poslovni inkuabtori, poduzetnički akceleratori, poslovni parkovi, centri kompetencije i klasteri. </w:t>
      </w:r>
    </w:p>
    <w:p w14:paraId="6E96050E"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Na nivou Federaciji BiH, kao što je ranije navedeno, još uvijek nije uspostavljena Razvojna agencija FBiH. U FBiH djeluju  4 regionalne </w:t>
      </w:r>
      <w:r w:rsidRPr="00ED7B99">
        <w:rPr>
          <w:rFonts w:asciiTheme="majorHAnsi" w:hAnsiTheme="majorHAnsi" w:cstheme="majorHAnsi"/>
          <w:u w:val="single"/>
        </w:rPr>
        <w:t>razvojne agencije</w:t>
      </w:r>
      <w:r w:rsidRPr="00ED7B99">
        <w:rPr>
          <w:rFonts w:asciiTheme="majorHAnsi" w:hAnsiTheme="majorHAnsi" w:cstheme="majorHAnsi"/>
        </w:rPr>
        <w:t xml:space="preserve"> - Sarajevska regionalna razvojna agencije - SERDA, Regionalna razvojna agencija za područje Sjeveroistočne BiH- NERDA, Regionalna razvojna agencija za Hercegovinu- REDAH te REZ - Regionalna razvojna agencija za Centralnu BiH.  Registrovane su kao neprofitne organizacije, osnovane od javnog, privatnog i nevladinog sektora s ciljem doprinosa ukupnom ekonomskom razvoju i svojim radom doprinose ekonomskom razvoju, ali se njihovo finansiranje oslanja uglavnom na finansiranje od strane međunarodnih donatora i projekata, doprinoseći teškoćama u osiguranju održivosti. Na nivou FBiH djeluj</w:t>
      </w:r>
      <w:r w:rsidR="008F61D4" w:rsidRPr="00ED7B99">
        <w:rPr>
          <w:rFonts w:asciiTheme="majorHAnsi" w:hAnsiTheme="majorHAnsi" w:cstheme="majorHAnsi"/>
        </w:rPr>
        <w:t xml:space="preserve">u </w:t>
      </w:r>
      <w:r w:rsidRPr="00ED7B99">
        <w:rPr>
          <w:rFonts w:asciiTheme="majorHAnsi" w:hAnsiTheme="majorHAnsi" w:cstheme="majorHAnsi"/>
        </w:rPr>
        <w:t xml:space="preserve">i 2 kantonalne razvojne agencije (Razvojna agencija USK, Razvojna agencija Županije Zapadnohercegovačke) kao i </w:t>
      </w:r>
      <w:r w:rsidR="008F61D4" w:rsidRPr="00ED7B99">
        <w:rPr>
          <w:rFonts w:asciiTheme="majorHAnsi" w:hAnsiTheme="majorHAnsi" w:cstheme="majorHAnsi"/>
        </w:rPr>
        <w:t>8</w:t>
      </w:r>
      <w:r w:rsidRPr="00ED7B99">
        <w:rPr>
          <w:rFonts w:asciiTheme="majorHAnsi" w:hAnsiTheme="majorHAnsi" w:cstheme="majorHAnsi"/>
        </w:rPr>
        <w:t xml:space="preserve"> lokalnih razvojnih agencija koji na određeni način predstavljaju i instrument implementacije razvojnih politika na nivou Kantona odnosno JLS.</w:t>
      </w:r>
    </w:p>
    <w:p w14:paraId="0C4CDF81" w14:textId="77777777" w:rsidR="002D593C" w:rsidRPr="00ED7B99" w:rsidRDefault="002D593C" w:rsidP="0018367B">
      <w:pPr>
        <w:tabs>
          <w:tab w:val="left" w:pos="900"/>
        </w:tabs>
        <w:spacing w:after="0"/>
        <w:jc w:val="both"/>
        <w:rPr>
          <w:rFonts w:asciiTheme="majorHAnsi" w:hAnsiTheme="majorHAnsi" w:cstheme="majorHAnsi"/>
        </w:rPr>
      </w:pPr>
      <w:r w:rsidRPr="00ED7B99">
        <w:rPr>
          <w:rFonts w:asciiTheme="majorHAnsi" w:hAnsiTheme="majorHAnsi" w:cstheme="majorHAnsi"/>
        </w:rPr>
        <w:t xml:space="preserve">U FBiH trenutno postoji 14 </w:t>
      </w:r>
      <w:r w:rsidRPr="00ED7B99">
        <w:rPr>
          <w:rFonts w:asciiTheme="majorHAnsi" w:hAnsiTheme="majorHAnsi" w:cstheme="majorHAnsi"/>
          <w:u w:val="single"/>
        </w:rPr>
        <w:t>poduzetničkih inkubatora</w:t>
      </w:r>
      <w:r w:rsidRPr="00ED7B99">
        <w:rPr>
          <w:rFonts w:asciiTheme="majorHAnsi" w:hAnsiTheme="majorHAnsi" w:cstheme="majorHAnsi"/>
        </w:rPr>
        <w:t xml:space="preserve"> sa različitim načinima organizovanja, ali sa istom osnovnom funkcijom – pomoć pri osnivanju novih privrednih subjekata i njihov razvoj u prvim godinama poslovanja. Pregled poduzetničkih inkubatora u FBiH dat je u narednoj tabeli.</w:t>
      </w:r>
    </w:p>
    <w:p w14:paraId="7ECE7296" w14:textId="0E33793E" w:rsidR="002D593C" w:rsidRPr="00ED7B99" w:rsidRDefault="002D593C" w:rsidP="002D593C">
      <w:pPr>
        <w:pStyle w:val="Caption"/>
        <w:keepNext/>
        <w:rPr>
          <w:rFonts w:asciiTheme="majorHAnsi" w:hAnsiTheme="majorHAnsi" w:cstheme="majorHAnsi"/>
        </w:rPr>
      </w:pPr>
    </w:p>
    <w:p w14:paraId="483C0BE5" w14:textId="7F6DB565" w:rsidR="00A63412" w:rsidRDefault="00A63412" w:rsidP="00A63412">
      <w:pPr>
        <w:pStyle w:val="Caption"/>
        <w:keepNext/>
      </w:pPr>
      <w:r>
        <w:t xml:space="preserve">Tabela </w:t>
      </w:r>
      <w:fldSimple w:instr=" SEQ Tabela \* ARABIC ">
        <w:r w:rsidR="00DB6BC6">
          <w:rPr>
            <w:noProof/>
          </w:rPr>
          <w:t>20</w:t>
        </w:r>
      </w:fldSimple>
      <w:r>
        <w:t xml:space="preserve">. </w:t>
      </w:r>
      <w:r w:rsidRPr="0043099F">
        <w:t>Pregled poduzetničkih inkubatora u FBiH</w:t>
      </w:r>
    </w:p>
    <w:tbl>
      <w:tblPr>
        <w:tblStyle w:val="GridTable1Light-Accent21"/>
        <w:tblW w:w="9209" w:type="dxa"/>
        <w:tblLayout w:type="fixed"/>
        <w:tblLook w:val="01E0" w:firstRow="1" w:lastRow="1" w:firstColumn="1" w:lastColumn="1" w:noHBand="0" w:noVBand="0"/>
      </w:tblPr>
      <w:tblGrid>
        <w:gridCol w:w="533"/>
        <w:gridCol w:w="1579"/>
        <w:gridCol w:w="1417"/>
        <w:gridCol w:w="1701"/>
        <w:gridCol w:w="1275"/>
        <w:gridCol w:w="861"/>
        <w:gridCol w:w="850"/>
        <w:gridCol w:w="993"/>
      </w:tblGrid>
      <w:tr w:rsidR="002D593C" w:rsidRPr="00ED7B99" w14:paraId="3B26583A" w14:textId="77777777" w:rsidTr="002D5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shd w:val="clear" w:color="auto" w:fill="DFEBF5" w:themeFill="accent2" w:themeFillTint="33"/>
          </w:tcPr>
          <w:p w14:paraId="510EEBE3" w14:textId="77777777" w:rsidR="002D593C" w:rsidRPr="00ED7B99" w:rsidRDefault="002D593C" w:rsidP="002D593C">
            <w:pPr>
              <w:tabs>
                <w:tab w:val="left" w:pos="900"/>
              </w:tabs>
              <w:jc w:val="center"/>
              <w:rPr>
                <w:rFonts w:asciiTheme="majorHAnsi" w:hAnsiTheme="majorHAnsi" w:cstheme="majorHAnsi"/>
                <w:b w:val="0"/>
                <w:sz w:val="18"/>
                <w:szCs w:val="18"/>
              </w:rPr>
            </w:pPr>
          </w:p>
          <w:p w14:paraId="447C45FF" w14:textId="77777777" w:rsidR="002D593C" w:rsidRPr="00ED7B99" w:rsidRDefault="002D593C" w:rsidP="002D593C">
            <w:pPr>
              <w:tabs>
                <w:tab w:val="left" w:pos="900"/>
              </w:tabs>
              <w:jc w:val="center"/>
              <w:rPr>
                <w:rFonts w:asciiTheme="majorHAnsi" w:hAnsiTheme="majorHAnsi" w:cstheme="majorHAnsi"/>
                <w:b w:val="0"/>
                <w:sz w:val="18"/>
                <w:szCs w:val="18"/>
              </w:rPr>
            </w:pPr>
            <w:r w:rsidRPr="00ED7B99">
              <w:rPr>
                <w:rFonts w:asciiTheme="majorHAnsi" w:hAnsiTheme="majorHAnsi" w:cstheme="majorHAnsi"/>
                <w:sz w:val="18"/>
                <w:szCs w:val="18"/>
              </w:rPr>
              <w:t>Br.</w:t>
            </w:r>
          </w:p>
        </w:tc>
        <w:tc>
          <w:tcPr>
            <w:tcW w:w="1579" w:type="dxa"/>
            <w:shd w:val="clear" w:color="auto" w:fill="DFEBF5" w:themeFill="accent2" w:themeFillTint="33"/>
          </w:tcPr>
          <w:p w14:paraId="6E961C01" w14:textId="77777777" w:rsidR="002D593C" w:rsidRPr="00ED7B99" w:rsidRDefault="002D593C" w:rsidP="002D593C">
            <w:pPr>
              <w:tabs>
                <w:tab w:val="left" w:pos="9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Naziv inkubatora</w:t>
            </w:r>
          </w:p>
        </w:tc>
        <w:tc>
          <w:tcPr>
            <w:tcW w:w="1417" w:type="dxa"/>
            <w:shd w:val="clear" w:color="auto" w:fill="DFEBF5" w:themeFill="accent2" w:themeFillTint="33"/>
          </w:tcPr>
          <w:p w14:paraId="0FBD4070" w14:textId="77777777" w:rsidR="002D593C" w:rsidRPr="00ED7B99" w:rsidRDefault="002D593C" w:rsidP="002D593C">
            <w:pPr>
              <w:tabs>
                <w:tab w:val="left" w:pos="9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p>
          <w:p w14:paraId="6A5DB5B8" w14:textId="77777777" w:rsidR="002D593C" w:rsidRPr="00ED7B99" w:rsidRDefault="002D593C" w:rsidP="002D593C">
            <w:pPr>
              <w:tabs>
                <w:tab w:val="left" w:pos="9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Osnivač</w:t>
            </w:r>
          </w:p>
        </w:tc>
        <w:tc>
          <w:tcPr>
            <w:tcW w:w="1701" w:type="dxa"/>
            <w:shd w:val="clear" w:color="auto" w:fill="DFEBF5" w:themeFill="accent2" w:themeFillTint="33"/>
          </w:tcPr>
          <w:p w14:paraId="2811340E" w14:textId="77777777" w:rsidR="002D593C" w:rsidRPr="00ED7B99" w:rsidRDefault="002D593C" w:rsidP="002D593C">
            <w:pPr>
              <w:tabs>
                <w:tab w:val="left" w:pos="9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p>
          <w:p w14:paraId="3706B941" w14:textId="77777777" w:rsidR="002D593C" w:rsidRPr="00ED7B99" w:rsidRDefault="002D593C" w:rsidP="002D593C">
            <w:pPr>
              <w:tabs>
                <w:tab w:val="left" w:pos="9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Prostor</w:t>
            </w:r>
          </w:p>
        </w:tc>
        <w:tc>
          <w:tcPr>
            <w:tcW w:w="1275" w:type="dxa"/>
            <w:shd w:val="clear" w:color="auto" w:fill="DFEBF5" w:themeFill="accent2" w:themeFillTint="33"/>
          </w:tcPr>
          <w:p w14:paraId="17FDC6FC" w14:textId="77777777" w:rsidR="002D593C" w:rsidRPr="00ED7B99" w:rsidRDefault="002D593C" w:rsidP="002D593C">
            <w:pPr>
              <w:tabs>
                <w:tab w:val="left" w:pos="9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p>
          <w:p w14:paraId="7DC77940" w14:textId="77777777" w:rsidR="002D593C" w:rsidRPr="00ED7B99" w:rsidRDefault="002D593C" w:rsidP="002D593C">
            <w:pPr>
              <w:tabs>
                <w:tab w:val="left" w:pos="9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Ulaganja u KM</w:t>
            </w:r>
          </w:p>
        </w:tc>
        <w:tc>
          <w:tcPr>
            <w:tcW w:w="861" w:type="dxa"/>
            <w:shd w:val="clear" w:color="auto" w:fill="DFEBF5" w:themeFill="accent2" w:themeFillTint="33"/>
          </w:tcPr>
          <w:p w14:paraId="688385EE" w14:textId="77777777" w:rsidR="002D593C" w:rsidRPr="00ED7B99" w:rsidRDefault="002D593C" w:rsidP="002D593C">
            <w:pPr>
              <w:tabs>
                <w:tab w:val="left" w:pos="9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Uposlenici inkubatora</w:t>
            </w:r>
          </w:p>
        </w:tc>
        <w:tc>
          <w:tcPr>
            <w:tcW w:w="850" w:type="dxa"/>
            <w:shd w:val="clear" w:color="auto" w:fill="DFEBF5" w:themeFill="accent2" w:themeFillTint="33"/>
          </w:tcPr>
          <w:p w14:paraId="18B5FB11" w14:textId="77777777" w:rsidR="002D593C" w:rsidRPr="00ED7B99" w:rsidRDefault="002D593C" w:rsidP="002D593C">
            <w:pPr>
              <w:tabs>
                <w:tab w:val="left" w:pos="9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MSP u inkub.</w:t>
            </w:r>
          </w:p>
        </w:tc>
        <w:tc>
          <w:tcPr>
            <w:cnfStyle w:val="000100000000" w:firstRow="0" w:lastRow="0" w:firstColumn="0" w:lastColumn="1" w:oddVBand="0" w:evenVBand="0" w:oddHBand="0" w:evenHBand="0" w:firstRowFirstColumn="0" w:firstRowLastColumn="0" w:lastRowFirstColumn="0" w:lastRowLastColumn="0"/>
            <w:tcW w:w="993" w:type="dxa"/>
            <w:shd w:val="clear" w:color="auto" w:fill="DFEBF5" w:themeFill="accent2" w:themeFillTint="33"/>
          </w:tcPr>
          <w:p w14:paraId="186D7B78" w14:textId="77777777" w:rsidR="002D593C" w:rsidRPr="00ED7B99" w:rsidRDefault="002D593C" w:rsidP="002D593C">
            <w:pPr>
              <w:tabs>
                <w:tab w:val="left" w:pos="900"/>
              </w:tabs>
              <w:jc w:val="center"/>
              <w:rPr>
                <w:rFonts w:asciiTheme="majorHAnsi" w:hAnsiTheme="majorHAnsi" w:cstheme="majorHAnsi"/>
                <w:b w:val="0"/>
                <w:sz w:val="18"/>
                <w:szCs w:val="18"/>
              </w:rPr>
            </w:pPr>
            <w:r w:rsidRPr="00ED7B99">
              <w:rPr>
                <w:rFonts w:asciiTheme="majorHAnsi" w:hAnsiTheme="majorHAnsi" w:cstheme="majorHAnsi"/>
                <w:sz w:val="18"/>
                <w:szCs w:val="18"/>
              </w:rPr>
              <w:t xml:space="preserve">Uposleni u MSP </w:t>
            </w:r>
          </w:p>
        </w:tc>
      </w:tr>
      <w:tr w:rsidR="002D593C" w:rsidRPr="00ED7B99" w14:paraId="48225B35"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4913744C"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w:t>
            </w:r>
          </w:p>
        </w:tc>
        <w:tc>
          <w:tcPr>
            <w:tcW w:w="1579" w:type="dxa"/>
          </w:tcPr>
          <w:p w14:paraId="0A616F8A"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 inkubator INTERA TP Mostar</w:t>
            </w:r>
          </w:p>
        </w:tc>
        <w:tc>
          <w:tcPr>
            <w:tcW w:w="1417" w:type="dxa"/>
          </w:tcPr>
          <w:p w14:paraId="5700B223"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Alfa Term,</w:t>
            </w:r>
          </w:p>
          <w:p w14:paraId="50BEBA9C"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Uniplast i</w:t>
            </w:r>
          </w:p>
          <w:p w14:paraId="4009E0F7"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Pinkom</w:t>
            </w:r>
          </w:p>
        </w:tc>
        <w:tc>
          <w:tcPr>
            <w:tcW w:w="1701" w:type="dxa"/>
          </w:tcPr>
          <w:p w14:paraId="56084BF4"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vertAlign w:val="superscript"/>
              </w:rPr>
            </w:pPr>
            <w:r w:rsidRPr="00ED7B99">
              <w:rPr>
                <w:rFonts w:asciiTheme="majorHAnsi" w:hAnsiTheme="majorHAnsi" w:cstheme="majorHAnsi"/>
                <w:sz w:val="18"/>
                <w:szCs w:val="18"/>
              </w:rPr>
              <w:t>Uredski prostor i sale za sast.1.500m</w:t>
            </w:r>
            <w:r w:rsidRPr="00ED7B99">
              <w:rPr>
                <w:rFonts w:asciiTheme="majorHAnsi" w:hAnsiTheme="majorHAnsi" w:cstheme="majorHAnsi"/>
                <w:sz w:val="18"/>
                <w:szCs w:val="18"/>
                <w:vertAlign w:val="superscript"/>
              </w:rPr>
              <w:t>2</w:t>
            </w:r>
          </w:p>
        </w:tc>
        <w:tc>
          <w:tcPr>
            <w:tcW w:w="1275" w:type="dxa"/>
          </w:tcPr>
          <w:p w14:paraId="1756C2E2"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410.000</w:t>
            </w:r>
          </w:p>
        </w:tc>
        <w:tc>
          <w:tcPr>
            <w:tcW w:w="861" w:type="dxa"/>
          </w:tcPr>
          <w:p w14:paraId="767F1983"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9</w:t>
            </w:r>
          </w:p>
        </w:tc>
        <w:tc>
          <w:tcPr>
            <w:tcW w:w="850" w:type="dxa"/>
          </w:tcPr>
          <w:p w14:paraId="0502A663"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20</w:t>
            </w:r>
          </w:p>
        </w:tc>
        <w:tc>
          <w:tcPr>
            <w:cnfStyle w:val="000100000000" w:firstRow="0" w:lastRow="0" w:firstColumn="0" w:lastColumn="1" w:oddVBand="0" w:evenVBand="0" w:oddHBand="0" w:evenHBand="0" w:firstRowFirstColumn="0" w:firstRowLastColumn="0" w:lastRowFirstColumn="0" w:lastRowLastColumn="0"/>
            <w:tcW w:w="993" w:type="dxa"/>
          </w:tcPr>
          <w:p w14:paraId="51B5D7BD"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112</w:t>
            </w:r>
          </w:p>
        </w:tc>
      </w:tr>
      <w:tr w:rsidR="002D593C" w:rsidRPr="00ED7B99" w14:paraId="4A9E4F35"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6911C928"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2.</w:t>
            </w:r>
          </w:p>
        </w:tc>
        <w:tc>
          <w:tcPr>
            <w:tcW w:w="1579" w:type="dxa"/>
          </w:tcPr>
          <w:p w14:paraId="6A5EF99E"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Inkubator Gradačac</w:t>
            </w:r>
          </w:p>
        </w:tc>
        <w:tc>
          <w:tcPr>
            <w:tcW w:w="1417" w:type="dxa"/>
          </w:tcPr>
          <w:p w14:paraId="589B066D"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NVO-NBR Gradačac</w:t>
            </w:r>
          </w:p>
        </w:tc>
        <w:tc>
          <w:tcPr>
            <w:tcW w:w="1701" w:type="dxa"/>
          </w:tcPr>
          <w:p w14:paraId="4E52703E"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vertAlign w:val="superscript"/>
              </w:rPr>
            </w:pPr>
            <w:r w:rsidRPr="00ED7B99">
              <w:rPr>
                <w:rFonts w:asciiTheme="majorHAnsi" w:hAnsiTheme="majorHAnsi" w:cstheme="majorHAnsi"/>
                <w:sz w:val="18"/>
                <w:szCs w:val="18"/>
              </w:rPr>
              <w:t>Uredski i proizv. 8250 m</w:t>
            </w:r>
            <w:r w:rsidRPr="00ED7B99">
              <w:rPr>
                <w:rFonts w:asciiTheme="majorHAnsi" w:hAnsiTheme="majorHAnsi" w:cstheme="majorHAnsi"/>
                <w:sz w:val="18"/>
                <w:szCs w:val="18"/>
                <w:vertAlign w:val="superscript"/>
              </w:rPr>
              <w:t>2</w:t>
            </w:r>
          </w:p>
        </w:tc>
        <w:tc>
          <w:tcPr>
            <w:tcW w:w="1275" w:type="dxa"/>
          </w:tcPr>
          <w:p w14:paraId="4BA8E2E6"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xml:space="preserve">770.000 </w:t>
            </w:r>
          </w:p>
        </w:tc>
        <w:tc>
          <w:tcPr>
            <w:tcW w:w="861" w:type="dxa"/>
          </w:tcPr>
          <w:p w14:paraId="29156C5F"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850" w:type="dxa"/>
          </w:tcPr>
          <w:p w14:paraId="35EB31AF"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11</w:t>
            </w:r>
          </w:p>
        </w:tc>
        <w:tc>
          <w:tcPr>
            <w:cnfStyle w:val="000100000000" w:firstRow="0" w:lastRow="0" w:firstColumn="0" w:lastColumn="1" w:oddVBand="0" w:evenVBand="0" w:oddHBand="0" w:evenHBand="0" w:firstRowFirstColumn="0" w:firstRowLastColumn="0" w:lastRowFirstColumn="0" w:lastRowLastColumn="0"/>
            <w:tcW w:w="993" w:type="dxa"/>
          </w:tcPr>
          <w:p w14:paraId="1ADDD0C1"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150</w:t>
            </w:r>
          </w:p>
        </w:tc>
      </w:tr>
      <w:tr w:rsidR="002D593C" w:rsidRPr="00ED7B99" w14:paraId="66275DAB"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36518EF4" w14:textId="77777777" w:rsidR="002D593C" w:rsidRPr="00ED7B99" w:rsidRDefault="002D593C" w:rsidP="002D593C">
            <w:pPr>
              <w:tabs>
                <w:tab w:val="left" w:pos="900"/>
              </w:tabs>
              <w:jc w:val="center"/>
              <w:rPr>
                <w:rFonts w:asciiTheme="majorHAnsi" w:hAnsiTheme="majorHAnsi" w:cstheme="majorHAnsi"/>
                <w:sz w:val="18"/>
                <w:szCs w:val="18"/>
              </w:rPr>
            </w:pPr>
          </w:p>
          <w:p w14:paraId="71E5F34A"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3.</w:t>
            </w:r>
          </w:p>
        </w:tc>
        <w:tc>
          <w:tcPr>
            <w:tcW w:w="1579" w:type="dxa"/>
          </w:tcPr>
          <w:p w14:paraId="1DB3571F"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xml:space="preserve">RPC Tuzla inkubator Lipnica </w:t>
            </w:r>
          </w:p>
        </w:tc>
        <w:tc>
          <w:tcPr>
            <w:tcW w:w="1417" w:type="dxa"/>
          </w:tcPr>
          <w:p w14:paraId="0421EFD8"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Grad Tuzla</w:t>
            </w:r>
          </w:p>
        </w:tc>
        <w:tc>
          <w:tcPr>
            <w:tcW w:w="1701" w:type="dxa"/>
          </w:tcPr>
          <w:p w14:paraId="24FAF20F"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vertAlign w:val="superscript"/>
              </w:rPr>
            </w:pPr>
            <w:r w:rsidRPr="00ED7B99">
              <w:rPr>
                <w:rFonts w:asciiTheme="majorHAnsi" w:hAnsiTheme="majorHAnsi" w:cstheme="majorHAnsi"/>
                <w:sz w:val="18"/>
                <w:szCs w:val="18"/>
              </w:rPr>
              <w:t>Uredski i proizvodni 12159 m</w:t>
            </w:r>
            <w:r w:rsidRPr="00ED7B99">
              <w:rPr>
                <w:rFonts w:asciiTheme="majorHAnsi" w:hAnsiTheme="majorHAnsi" w:cstheme="majorHAnsi"/>
                <w:sz w:val="18"/>
                <w:szCs w:val="18"/>
                <w:vertAlign w:val="superscript"/>
              </w:rPr>
              <w:t>2</w:t>
            </w:r>
          </w:p>
        </w:tc>
        <w:tc>
          <w:tcPr>
            <w:tcW w:w="1275" w:type="dxa"/>
          </w:tcPr>
          <w:p w14:paraId="4A24F2F4"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xml:space="preserve">997.260 </w:t>
            </w:r>
          </w:p>
        </w:tc>
        <w:tc>
          <w:tcPr>
            <w:tcW w:w="861" w:type="dxa"/>
          </w:tcPr>
          <w:p w14:paraId="06895BC0"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11</w:t>
            </w:r>
          </w:p>
        </w:tc>
        <w:tc>
          <w:tcPr>
            <w:tcW w:w="850" w:type="dxa"/>
          </w:tcPr>
          <w:p w14:paraId="5E9197CF"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32</w:t>
            </w:r>
          </w:p>
        </w:tc>
        <w:tc>
          <w:tcPr>
            <w:cnfStyle w:val="000100000000" w:firstRow="0" w:lastRow="0" w:firstColumn="0" w:lastColumn="1" w:oddVBand="0" w:evenVBand="0" w:oddHBand="0" w:evenHBand="0" w:firstRowFirstColumn="0" w:firstRowLastColumn="0" w:lastRowFirstColumn="0" w:lastRowLastColumn="0"/>
            <w:tcW w:w="993" w:type="dxa"/>
          </w:tcPr>
          <w:p w14:paraId="1279CFD8"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215</w:t>
            </w:r>
          </w:p>
        </w:tc>
      </w:tr>
      <w:tr w:rsidR="002D593C" w:rsidRPr="00ED7B99" w14:paraId="2E171B19"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0F415EE9"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4.</w:t>
            </w:r>
          </w:p>
        </w:tc>
        <w:tc>
          <w:tcPr>
            <w:tcW w:w="1579" w:type="dxa"/>
          </w:tcPr>
          <w:p w14:paraId="59E2D8CD"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BIT centar Tuzla</w:t>
            </w:r>
          </w:p>
        </w:tc>
        <w:tc>
          <w:tcPr>
            <w:tcW w:w="1417" w:type="dxa"/>
          </w:tcPr>
          <w:p w14:paraId="6EA4073D"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Grad Tuzla i Norveški partner</w:t>
            </w:r>
          </w:p>
        </w:tc>
        <w:tc>
          <w:tcPr>
            <w:tcW w:w="1701" w:type="dxa"/>
          </w:tcPr>
          <w:p w14:paraId="25B6960A"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Uredski prostor 1000 m</w:t>
            </w:r>
            <w:r w:rsidRPr="00ED7B99">
              <w:rPr>
                <w:rFonts w:asciiTheme="majorHAnsi" w:hAnsiTheme="majorHAnsi" w:cstheme="majorHAnsi"/>
                <w:sz w:val="18"/>
                <w:szCs w:val="18"/>
                <w:vertAlign w:val="superscript"/>
              </w:rPr>
              <w:t>2</w:t>
            </w:r>
          </w:p>
        </w:tc>
        <w:tc>
          <w:tcPr>
            <w:tcW w:w="1275" w:type="dxa"/>
          </w:tcPr>
          <w:p w14:paraId="68A6C03E"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xml:space="preserve">3.000.000 </w:t>
            </w:r>
          </w:p>
        </w:tc>
        <w:tc>
          <w:tcPr>
            <w:tcW w:w="861" w:type="dxa"/>
          </w:tcPr>
          <w:p w14:paraId="6029F6B8"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w:t>
            </w:r>
          </w:p>
        </w:tc>
        <w:tc>
          <w:tcPr>
            <w:tcW w:w="850" w:type="dxa"/>
          </w:tcPr>
          <w:p w14:paraId="44EAD5C6"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16</w:t>
            </w:r>
          </w:p>
        </w:tc>
        <w:tc>
          <w:tcPr>
            <w:cnfStyle w:val="000100000000" w:firstRow="0" w:lastRow="0" w:firstColumn="0" w:lastColumn="1" w:oddVBand="0" w:evenVBand="0" w:oddHBand="0" w:evenHBand="0" w:firstRowFirstColumn="0" w:firstRowLastColumn="0" w:lastRowFirstColumn="0" w:lastRowLastColumn="0"/>
            <w:tcW w:w="993" w:type="dxa"/>
          </w:tcPr>
          <w:p w14:paraId="0017DA1C"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78</w:t>
            </w:r>
          </w:p>
        </w:tc>
      </w:tr>
      <w:tr w:rsidR="002D593C" w:rsidRPr="00ED7B99" w14:paraId="714DBF02" w14:textId="77777777" w:rsidTr="002D593C">
        <w:trPr>
          <w:trHeight w:val="685"/>
        </w:trPr>
        <w:tc>
          <w:tcPr>
            <w:cnfStyle w:val="001000000000" w:firstRow="0" w:lastRow="0" w:firstColumn="1" w:lastColumn="0" w:oddVBand="0" w:evenVBand="0" w:oddHBand="0" w:evenHBand="0" w:firstRowFirstColumn="0" w:firstRowLastColumn="0" w:lastRowFirstColumn="0" w:lastRowLastColumn="0"/>
            <w:tcW w:w="533" w:type="dxa"/>
          </w:tcPr>
          <w:p w14:paraId="47774707"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5.</w:t>
            </w:r>
          </w:p>
        </w:tc>
        <w:tc>
          <w:tcPr>
            <w:tcW w:w="1579" w:type="dxa"/>
          </w:tcPr>
          <w:p w14:paraId="45ECC0D1"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Biznis inkubator Zenica - BIZ</w:t>
            </w:r>
          </w:p>
        </w:tc>
        <w:tc>
          <w:tcPr>
            <w:tcW w:w="1417" w:type="dxa"/>
          </w:tcPr>
          <w:p w14:paraId="26ADF3A2"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Grad Zenica i agencija ZEDA</w:t>
            </w:r>
          </w:p>
        </w:tc>
        <w:tc>
          <w:tcPr>
            <w:tcW w:w="1701" w:type="dxa"/>
          </w:tcPr>
          <w:p w14:paraId="7A68624B"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Uredski  500 m</w:t>
            </w:r>
            <w:r w:rsidRPr="00ED7B99">
              <w:rPr>
                <w:rFonts w:asciiTheme="majorHAnsi" w:hAnsiTheme="majorHAnsi" w:cstheme="majorHAnsi"/>
                <w:sz w:val="18"/>
                <w:szCs w:val="18"/>
                <w:vertAlign w:val="superscript"/>
              </w:rPr>
              <w:t>2</w:t>
            </w:r>
            <w:r w:rsidRPr="00ED7B99">
              <w:rPr>
                <w:rFonts w:asciiTheme="majorHAnsi" w:hAnsiTheme="majorHAnsi" w:cstheme="majorHAnsi"/>
                <w:sz w:val="18"/>
                <w:szCs w:val="18"/>
              </w:rPr>
              <w:t xml:space="preserve"> cca + proizvodni -radionički cca 3300 m</w:t>
            </w:r>
            <w:r w:rsidRPr="00ED7B99">
              <w:rPr>
                <w:rFonts w:asciiTheme="majorHAnsi" w:hAnsiTheme="majorHAnsi" w:cstheme="majorHAnsi"/>
                <w:sz w:val="18"/>
                <w:szCs w:val="18"/>
                <w:vertAlign w:val="superscript"/>
              </w:rPr>
              <w:t>2</w:t>
            </w:r>
          </w:p>
        </w:tc>
        <w:tc>
          <w:tcPr>
            <w:tcW w:w="1275" w:type="dxa"/>
          </w:tcPr>
          <w:p w14:paraId="118FCC4A"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xml:space="preserve">2.500.000 </w:t>
            </w:r>
          </w:p>
        </w:tc>
        <w:tc>
          <w:tcPr>
            <w:tcW w:w="861" w:type="dxa"/>
          </w:tcPr>
          <w:p w14:paraId="549CDBDE"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w:t>
            </w:r>
          </w:p>
        </w:tc>
        <w:tc>
          <w:tcPr>
            <w:tcW w:w="850" w:type="dxa"/>
          </w:tcPr>
          <w:p w14:paraId="20ABBB34"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42</w:t>
            </w:r>
          </w:p>
        </w:tc>
        <w:tc>
          <w:tcPr>
            <w:cnfStyle w:val="000100000000" w:firstRow="0" w:lastRow="0" w:firstColumn="0" w:lastColumn="1" w:oddVBand="0" w:evenVBand="0" w:oddHBand="0" w:evenHBand="0" w:firstRowFirstColumn="0" w:firstRowLastColumn="0" w:lastRowFirstColumn="0" w:lastRowLastColumn="0"/>
            <w:tcW w:w="993" w:type="dxa"/>
          </w:tcPr>
          <w:p w14:paraId="77396E6A"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167</w:t>
            </w:r>
          </w:p>
        </w:tc>
      </w:tr>
      <w:tr w:rsidR="002D593C" w:rsidRPr="00ED7B99" w14:paraId="1C520875" w14:textId="77777777" w:rsidTr="002D593C">
        <w:trPr>
          <w:trHeight w:val="617"/>
        </w:trPr>
        <w:tc>
          <w:tcPr>
            <w:cnfStyle w:val="001000000000" w:firstRow="0" w:lastRow="0" w:firstColumn="1" w:lastColumn="0" w:oddVBand="0" w:evenVBand="0" w:oddHBand="0" w:evenHBand="0" w:firstRowFirstColumn="0" w:firstRowLastColumn="0" w:lastRowFirstColumn="0" w:lastRowLastColumn="0"/>
            <w:tcW w:w="533" w:type="dxa"/>
          </w:tcPr>
          <w:p w14:paraId="4EA59C26"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6.</w:t>
            </w:r>
          </w:p>
        </w:tc>
        <w:tc>
          <w:tcPr>
            <w:tcW w:w="1579" w:type="dxa"/>
          </w:tcPr>
          <w:p w14:paraId="4264315A"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Poslovni inkubator Žepče</w:t>
            </w:r>
          </w:p>
        </w:tc>
        <w:tc>
          <w:tcPr>
            <w:tcW w:w="1417" w:type="dxa"/>
          </w:tcPr>
          <w:p w14:paraId="18C6117B"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Udruga poduz. i poslodavaca</w:t>
            </w:r>
          </w:p>
        </w:tc>
        <w:tc>
          <w:tcPr>
            <w:tcW w:w="1701" w:type="dxa"/>
          </w:tcPr>
          <w:p w14:paraId="01994F9D"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Uredski i proizvodni 980 m</w:t>
            </w:r>
            <w:r w:rsidRPr="00ED7B99">
              <w:rPr>
                <w:rFonts w:asciiTheme="majorHAnsi" w:hAnsiTheme="majorHAnsi" w:cstheme="majorHAnsi"/>
                <w:sz w:val="18"/>
                <w:szCs w:val="18"/>
                <w:vertAlign w:val="superscript"/>
              </w:rPr>
              <w:t>2</w:t>
            </w:r>
          </w:p>
        </w:tc>
        <w:tc>
          <w:tcPr>
            <w:tcW w:w="1275" w:type="dxa"/>
          </w:tcPr>
          <w:p w14:paraId="718FE8CA"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xml:space="preserve">560.000 </w:t>
            </w:r>
          </w:p>
        </w:tc>
        <w:tc>
          <w:tcPr>
            <w:tcW w:w="861" w:type="dxa"/>
          </w:tcPr>
          <w:p w14:paraId="38E27469"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w:t>
            </w:r>
          </w:p>
        </w:tc>
        <w:tc>
          <w:tcPr>
            <w:tcW w:w="850" w:type="dxa"/>
          </w:tcPr>
          <w:p w14:paraId="6298BC3B"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7</w:t>
            </w:r>
          </w:p>
        </w:tc>
        <w:tc>
          <w:tcPr>
            <w:cnfStyle w:val="000100000000" w:firstRow="0" w:lastRow="0" w:firstColumn="0" w:lastColumn="1" w:oddVBand="0" w:evenVBand="0" w:oddHBand="0" w:evenHBand="0" w:firstRowFirstColumn="0" w:firstRowLastColumn="0" w:lastRowFirstColumn="0" w:lastRowLastColumn="0"/>
            <w:tcW w:w="993" w:type="dxa"/>
          </w:tcPr>
          <w:p w14:paraId="187A0657"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20</w:t>
            </w:r>
          </w:p>
        </w:tc>
      </w:tr>
      <w:tr w:rsidR="002D593C" w:rsidRPr="00ED7B99" w14:paraId="24EAB04B" w14:textId="77777777" w:rsidTr="002D593C">
        <w:trPr>
          <w:trHeight w:val="471"/>
        </w:trPr>
        <w:tc>
          <w:tcPr>
            <w:cnfStyle w:val="001000000000" w:firstRow="0" w:lastRow="0" w:firstColumn="1" w:lastColumn="0" w:oddVBand="0" w:evenVBand="0" w:oddHBand="0" w:evenHBand="0" w:firstRowFirstColumn="0" w:firstRowLastColumn="0" w:lastRowFirstColumn="0" w:lastRowLastColumn="0"/>
            <w:tcW w:w="533" w:type="dxa"/>
          </w:tcPr>
          <w:p w14:paraId="121B239C"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7.</w:t>
            </w:r>
          </w:p>
        </w:tc>
        <w:tc>
          <w:tcPr>
            <w:tcW w:w="1579" w:type="dxa"/>
          </w:tcPr>
          <w:p w14:paraId="3631C681"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Posl. Inkub. Zavidovići</w:t>
            </w:r>
          </w:p>
        </w:tc>
        <w:tc>
          <w:tcPr>
            <w:tcW w:w="1417" w:type="dxa"/>
          </w:tcPr>
          <w:p w14:paraId="2E990A7F"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Općina Zavidovići</w:t>
            </w:r>
          </w:p>
        </w:tc>
        <w:tc>
          <w:tcPr>
            <w:tcW w:w="1701" w:type="dxa"/>
          </w:tcPr>
          <w:p w14:paraId="4034767D"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Uredski i proizv. 250+750 m</w:t>
            </w:r>
            <w:r w:rsidRPr="00ED7B99">
              <w:rPr>
                <w:rFonts w:asciiTheme="majorHAnsi" w:hAnsiTheme="majorHAnsi" w:cstheme="majorHAnsi"/>
                <w:sz w:val="18"/>
                <w:szCs w:val="18"/>
                <w:vertAlign w:val="superscript"/>
              </w:rPr>
              <w:t>2</w:t>
            </w:r>
          </w:p>
        </w:tc>
        <w:tc>
          <w:tcPr>
            <w:tcW w:w="1275" w:type="dxa"/>
          </w:tcPr>
          <w:p w14:paraId="37B276C6"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xml:space="preserve">255.490 </w:t>
            </w:r>
          </w:p>
        </w:tc>
        <w:tc>
          <w:tcPr>
            <w:tcW w:w="861" w:type="dxa"/>
          </w:tcPr>
          <w:p w14:paraId="548349D8"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w:t>
            </w:r>
          </w:p>
        </w:tc>
        <w:tc>
          <w:tcPr>
            <w:tcW w:w="850" w:type="dxa"/>
          </w:tcPr>
          <w:p w14:paraId="4BB4BAFC"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11</w:t>
            </w:r>
          </w:p>
        </w:tc>
        <w:tc>
          <w:tcPr>
            <w:cnfStyle w:val="000100000000" w:firstRow="0" w:lastRow="0" w:firstColumn="0" w:lastColumn="1" w:oddVBand="0" w:evenVBand="0" w:oddHBand="0" w:evenHBand="0" w:firstRowFirstColumn="0" w:firstRowLastColumn="0" w:lastRowFirstColumn="0" w:lastRowLastColumn="0"/>
            <w:tcW w:w="993" w:type="dxa"/>
          </w:tcPr>
          <w:p w14:paraId="6F763561"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42</w:t>
            </w:r>
          </w:p>
        </w:tc>
      </w:tr>
      <w:tr w:rsidR="002D593C" w:rsidRPr="00ED7B99" w14:paraId="14413E8E"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5A79F002"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8.</w:t>
            </w:r>
          </w:p>
        </w:tc>
        <w:tc>
          <w:tcPr>
            <w:tcW w:w="1579" w:type="dxa"/>
          </w:tcPr>
          <w:p w14:paraId="12F95080"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Poslovni inkubator Jablanica</w:t>
            </w:r>
          </w:p>
        </w:tc>
        <w:tc>
          <w:tcPr>
            <w:tcW w:w="1417" w:type="dxa"/>
          </w:tcPr>
          <w:p w14:paraId="0191F4D4"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LINK Mostar i Općina Jablanica</w:t>
            </w:r>
          </w:p>
        </w:tc>
        <w:tc>
          <w:tcPr>
            <w:tcW w:w="1701" w:type="dxa"/>
          </w:tcPr>
          <w:p w14:paraId="576A1094"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Uredski i proizvodni 370 m</w:t>
            </w:r>
            <w:r w:rsidRPr="00ED7B99">
              <w:rPr>
                <w:rFonts w:asciiTheme="majorHAnsi" w:hAnsiTheme="majorHAnsi" w:cstheme="majorHAnsi"/>
                <w:sz w:val="18"/>
                <w:szCs w:val="18"/>
                <w:vertAlign w:val="superscript"/>
              </w:rPr>
              <w:t>2</w:t>
            </w:r>
          </w:p>
        </w:tc>
        <w:tc>
          <w:tcPr>
            <w:tcW w:w="1275" w:type="dxa"/>
          </w:tcPr>
          <w:p w14:paraId="1B0AD403"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100.000</w:t>
            </w:r>
          </w:p>
        </w:tc>
        <w:tc>
          <w:tcPr>
            <w:tcW w:w="861" w:type="dxa"/>
          </w:tcPr>
          <w:p w14:paraId="097438A8"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w:t>
            </w:r>
          </w:p>
        </w:tc>
        <w:tc>
          <w:tcPr>
            <w:tcW w:w="850" w:type="dxa"/>
          </w:tcPr>
          <w:p w14:paraId="4AAE3609"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8</w:t>
            </w:r>
          </w:p>
        </w:tc>
        <w:tc>
          <w:tcPr>
            <w:cnfStyle w:val="000100000000" w:firstRow="0" w:lastRow="0" w:firstColumn="0" w:lastColumn="1" w:oddVBand="0" w:evenVBand="0" w:oddHBand="0" w:evenHBand="0" w:firstRowFirstColumn="0" w:firstRowLastColumn="0" w:lastRowFirstColumn="0" w:lastRowLastColumn="0"/>
            <w:tcW w:w="993" w:type="dxa"/>
          </w:tcPr>
          <w:p w14:paraId="185BC92B"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9</w:t>
            </w:r>
          </w:p>
        </w:tc>
      </w:tr>
      <w:tr w:rsidR="002D593C" w:rsidRPr="00ED7B99" w14:paraId="7326C8AB" w14:textId="77777777" w:rsidTr="002D593C">
        <w:trPr>
          <w:trHeight w:val="521"/>
        </w:trPr>
        <w:tc>
          <w:tcPr>
            <w:cnfStyle w:val="001000000000" w:firstRow="0" w:lastRow="0" w:firstColumn="1" w:lastColumn="0" w:oddVBand="0" w:evenVBand="0" w:oddHBand="0" w:evenHBand="0" w:firstRowFirstColumn="0" w:firstRowLastColumn="0" w:lastRowFirstColumn="0" w:lastRowLastColumn="0"/>
            <w:tcW w:w="533" w:type="dxa"/>
          </w:tcPr>
          <w:p w14:paraId="26098F73"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9.</w:t>
            </w:r>
          </w:p>
        </w:tc>
        <w:tc>
          <w:tcPr>
            <w:tcW w:w="1579" w:type="dxa"/>
          </w:tcPr>
          <w:p w14:paraId="57D0FBA7"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Pod. inkubat. Ljubuški</w:t>
            </w:r>
          </w:p>
        </w:tc>
        <w:tc>
          <w:tcPr>
            <w:tcW w:w="1417" w:type="dxa"/>
          </w:tcPr>
          <w:p w14:paraId="07531D73"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Općina Ljubuški</w:t>
            </w:r>
          </w:p>
        </w:tc>
        <w:tc>
          <w:tcPr>
            <w:tcW w:w="1701" w:type="dxa"/>
          </w:tcPr>
          <w:p w14:paraId="1A9D67D9"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vertAlign w:val="superscript"/>
              </w:rPr>
            </w:pPr>
            <w:r w:rsidRPr="00ED7B99">
              <w:rPr>
                <w:rFonts w:asciiTheme="majorHAnsi" w:hAnsiTheme="majorHAnsi" w:cstheme="majorHAnsi"/>
                <w:sz w:val="18"/>
                <w:szCs w:val="18"/>
              </w:rPr>
              <w:t>Uredski prostor 670 m</w:t>
            </w:r>
            <w:r w:rsidRPr="00ED7B99">
              <w:rPr>
                <w:rFonts w:asciiTheme="majorHAnsi" w:hAnsiTheme="majorHAnsi" w:cstheme="majorHAnsi"/>
                <w:sz w:val="18"/>
                <w:szCs w:val="18"/>
                <w:vertAlign w:val="superscript"/>
              </w:rPr>
              <w:t>2</w:t>
            </w:r>
          </w:p>
        </w:tc>
        <w:tc>
          <w:tcPr>
            <w:tcW w:w="1275" w:type="dxa"/>
          </w:tcPr>
          <w:p w14:paraId="23A5A39C"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1.270.000</w:t>
            </w:r>
          </w:p>
        </w:tc>
        <w:tc>
          <w:tcPr>
            <w:tcW w:w="861" w:type="dxa"/>
          </w:tcPr>
          <w:p w14:paraId="24825EDB"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w:t>
            </w:r>
          </w:p>
        </w:tc>
        <w:tc>
          <w:tcPr>
            <w:tcW w:w="850" w:type="dxa"/>
          </w:tcPr>
          <w:p w14:paraId="387DC077"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6</w:t>
            </w:r>
          </w:p>
        </w:tc>
        <w:tc>
          <w:tcPr>
            <w:cnfStyle w:val="000100000000" w:firstRow="0" w:lastRow="0" w:firstColumn="0" w:lastColumn="1" w:oddVBand="0" w:evenVBand="0" w:oddHBand="0" w:evenHBand="0" w:firstRowFirstColumn="0" w:firstRowLastColumn="0" w:lastRowFirstColumn="0" w:lastRowLastColumn="0"/>
            <w:tcW w:w="993" w:type="dxa"/>
          </w:tcPr>
          <w:p w14:paraId="4B4D64F4"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18</w:t>
            </w:r>
          </w:p>
        </w:tc>
      </w:tr>
      <w:tr w:rsidR="002D593C" w:rsidRPr="00ED7B99" w14:paraId="0B5BDF0E"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31ED34C5"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10.</w:t>
            </w:r>
          </w:p>
        </w:tc>
        <w:tc>
          <w:tcPr>
            <w:tcW w:w="1579" w:type="dxa"/>
          </w:tcPr>
          <w:p w14:paraId="740E2BBA"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Posl. inkubat. Posušje</w:t>
            </w:r>
          </w:p>
        </w:tc>
        <w:tc>
          <w:tcPr>
            <w:tcW w:w="1417" w:type="dxa"/>
          </w:tcPr>
          <w:p w14:paraId="5EB06752"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Općina Posušje</w:t>
            </w:r>
          </w:p>
        </w:tc>
        <w:tc>
          <w:tcPr>
            <w:tcW w:w="1701" w:type="dxa"/>
          </w:tcPr>
          <w:p w14:paraId="30788C3B"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Uredski prostor 150 m</w:t>
            </w:r>
            <w:r w:rsidRPr="00ED7B99">
              <w:rPr>
                <w:rFonts w:asciiTheme="majorHAnsi" w:hAnsiTheme="majorHAnsi" w:cstheme="majorHAnsi"/>
                <w:sz w:val="18"/>
                <w:szCs w:val="18"/>
                <w:vertAlign w:val="superscript"/>
              </w:rPr>
              <w:t>2</w:t>
            </w:r>
          </w:p>
        </w:tc>
        <w:tc>
          <w:tcPr>
            <w:tcW w:w="1275" w:type="dxa"/>
          </w:tcPr>
          <w:p w14:paraId="1BA88C4D"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190.000</w:t>
            </w:r>
          </w:p>
        </w:tc>
        <w:tc>
          <w:tcPr>
            <w:tcW w:w="861" w:type="dxa"/>
          </w:tcPr>
          <w:p w14:paraId="2C1B29C9"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w:t>
            </w:r>
          </w:p>
        </w:tc>
        <w:tc>
          <w:tcPr>
            <w:tcW w:w="850" w:type="dxa"/>
          </w:tcPr>
          <w:p w14:paraId="291EC642"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w:t>
            </w:r>
          </w:p>
        </w:tc>
        <w:tc>
          <w:tcPr>
            <w:cnfStyle w:val="000100000000" w:firstRow="0" w:lastRow="0" w:firstColumn="0" w:lastColumn="1" w:oddVBand="0" w:evenVBand="0" w:oddHBand="0" w:evenHBand="0" w:firstRowFirstColumn="0" w:firstRowLastColumn="0" w:lastRowFirstColumn="0" w:lastRowLastColumn="0"/>
            <w:tcW w:w="993" w:type="dxa"/>
          </w:tcPr>
          <w:p w14:paraId="1CA89B55"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6</w:t>
            </w:r>
          </w:p>
        </w:tc>
      </w:tr>
      <w:tr w:rsidR="002D593C" w:rsidRPr="00ED7B99" w14:paraId="73E0A935"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5E88C106"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11.</w:t>
            </w:r>
          </w:p>
        </w:tc>
        <w:tc>
          <w:tcPr>
            <w:tcW w:w="1579" w:type="dxa"/>
          </w:tcPr>
          <w:p w14:paraId="3F61F213"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Posl. inkubat. Bee Zone</w:t>
            </w:r>
          </w:p>
        </w:tc>
        <w:tc>
          <w:tcPr>
            <w:tcW w:w="1417" w:type="dxa"/>
          </w:tcPr>
          <w:p w14:paraId="2B909626"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xml:space="preserve">Lokalno partnerstvo za </w:t>
            </w:r>
            <w:r w:rsidRPr="00ED7B99">
              <w:rPr>
                <w:rFonts w:asciiTheme="majorHAnsi" w:hAnsiTheme="majorHAnsi" w:cstheme="majorHAnsi"/>
                <w:sz w:val="18"/>
                <w:szCs w:val="18"/>
              </w:rPr>
              <w:lastRenderedPageBreak/>
              <w:t>zapošljav. Travnik</w:t>
            </w:r>
          </w:p>
        </w:tc>
        <w:tc>
          <w:tcPr>
            <w:tcW w:w="1701" w:type="dxa"/>
          </w:tcPr>
          <w:p w14:paraId="64DD0213"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lastRenderedPageBreak/>
              <w:t>Uredski prostor 200 m</w:t>
            </w:r>
            <w:r w:rsidRPr="00ED7B99">
              <w:rPr>
                <w:rFonts w:asciiTheme="majorHAnsi" w:hAnsiTheme="majorHAnsi" w:cstheme="majorHAnsi"/>
                <w:sz w:val="18"/>
                <w:szCs w:val="18"/>
                <w:vertAlign w:val="superscript"/>
              </w:rPr>
              <w:t>2</w:t>
            </w:r>
          </w:p>
        </w:tc>
        <w:tc>
          <w:tcPr>
            <w:tcW w:w="1275" w:type="dxa"/>
          </w:tcPr>
          <w:p w14:paraId="0DA57DAE"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150.00</w:t>
            </w:r>
          </w:p>
        </w:tc>
        <w:tc>
          <w:tcPr>
            <w:tcW w:w="861" w:type="dxa"/>
          </w:tcPr>
          <w:p w14:paraId="20D32978"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w:t>
            </w:r>
          </w:p>
        </w:tc>
        <w:tc>
          <w:tcPr>
            <w:tcW w:w="850" w:type="dxa"/>
          </w:tcPr>
          <w:p w14:paraId="5FEAAF57"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w:t>
            </w:r>
          </w:p>
        </w:tc>
        <w:tc>
          <w:tcPr>
            <w:cnfStyle w:val="000100000000" w:firstRow="0" w:lastRow="0" w:firstColumn="0" w:lastColumn="1" w:oddVBand="0" w:evenVBand="0" w:oddHBand="0" w:evenHBand="0" w:firstRowFirstColumn="0" w:firstRowLastColumn="0" w:lastRowFirstColumn="0" w:lastRowLastColumn="0"/>
            <w:tcW w:w="993" w:type="dxa"/>
          </w:tcPr>
          <w:p w14:paraId="49559923"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3</w:t>
            </w:r>
          </w:p>
        </w:tc>
      </w:tr>
      <w:tr w:rsidR="002D593C" w:rsidRPr="00ED7B99" w14:paraId="58799540"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0CC839C3"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12.</w:t>
            </w:r>
          </w:p>
        </w:tc>
        <w:tc>
          <w:tcPr>
            <w:tcW w:w="1579" w:type="dxa"/>
          </w:tcPr>
          <w:p w14:paraId="785CA9B4"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Posl. inkubat. Livno</w:t>
            </w:r>
          </w:p>
        </w:tc>
        <w:tc>
          <w:tcPr>
            <w:tcW w:w="1417" w:type="dxa"/>
          </w:tcPr>
          <w:p w14:paraId="15E7639E"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Zaklada Linnovate</w:t>
            </w:r>
          </w:p>
        </w:tc>
        <w:tc>
          <w:tcPr>
            <w:tcW w:w="1701" w:type="dxa"/>
          </w:tcPr>
          <w:p w14:paraId="68E55660"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Uredski prostor 300 m</w:t>
            </w:r>
            <w:r w:rsidRPr="00ED7B99">
              <w:rPr>
                <w:rFonts w:asciiTheme="majorHAnsi" w:hAnsiTheme="majorHAnsi" w:cstheme="majorHAnsi"/>
                <w:sz w:val="18"/>
                <w:szCs w:val="18"/>
                <w:vertAlign w:val="superscript"/>
              </w:rPr>
              <w:t>2</w:t>
            </w:r>
          </w:p>
        </w:tc>
        <w:tc>
          <w:tcPr>
            <w:tcW w:w="1275" w:type="dxa"/>
          </w:tcPr>
          <w:p w14:paraId="412F80A2"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175.000</w:t>
            </w:r>
          </w:p>
        </w:tc>
        <w:tc>
          <w:tcPr>
            <w:tcW w:w="861" w:type="dxa"/>
          </w:tcPr>
          <w:p w14:paraId="5666A5EF"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w:t>
            </w:r>
          </w:p>
        </w:tc>
        <w:tc>
          <w:tcPr>
            <w:tcW w:w="850" w:type="dxa"/>
          </w:tcPr>
          <w:p w14:paraId="3AF8AEEC"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7</w:t>
            </w:r>
          </w:p>
        </w:tc>
        <w:tc>
          <w:tcPr>
            <w:cnfStyle w:val="000100000000" w:firstRow="0" w:lastRow="0" w:firstColumn="0" w:lastColumn="1" w:oddVBand="0" w:evenVBand="0" w:oddHBand="0" w:evenHBand="0" w:firstRowFirstColumn="0" w:firstRowLastColumn="0" w:lastRowFirstColumn="0" w:lastRowLastColumn="0"/>
            <w:tcW w:w="993" w:type="dxa"/>
          </w:tcPr>
          <w:p w14:paraId="715B5931"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13</w:t>
            </w:r>
          </w:p>
        </w:tc>
      </w:tr>
      <w:tr w:rsidR="002D593C" w:rsidRPr="00ED7B99" w14:paraId="5299160F"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4B5F9A2E"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13.</w:t>
            </w:r>
          </w:p>
        </w:tc>
        <w:tc>
          <w:tcPr>
            <w:tcW w:w="1579" w:type="dxa"/>
          </w:tcPr>
          <w:p w14:paraId="2DAAC010"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Posl. inkubat. PK KS</w:t>
            </w:r>
          </w:p>
        </w:tc>
        <w:tc>
          <w:tcPr>
            <w:tcW w:w="1417" w:type="dxa"/>
          </w:tcPr>
          <w:p w14:paraId="0A96E821"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Privredna komora KS</w:t>
            </w:r>
          </w:p>
        </w:tc>
        <w:tc>
          <w:tcPr>
            <w:tcW w:w="1701" w:type="dxa"/>
          </w:tcPr>
          <w:p w14:paraId="5A53E3F2"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Uredski prostor 1300 m</w:t>
            </w:r>
            <w:r w:rsidRPr="00ED7B99">
              <w:rPr>
                <w:rFonts w:asciiTheme="majorHAnsi" w:hAnsiTheme="majorHAnsi" w:cstheme="majorHAnsi"/>
                <w:sz w:val="18"/>
                <w:szCs w:val="18"/>
                <w:vertAlign w:val="superscript"/>
              </w:rPr>
              <w:t>2</w:t>
            </w:r>
          </w:p>
        </w:tc>
        <w:tc>
          <w:tcPr>
            <w:tcW w:w="1275" w:type="dxa"/>
          </w:tcPr>
          <w:p w14:paraId="5F5CB053"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20.000</w:t>
            </w:r>
          </w:p>
        </w:tc>
        <w:tc>
          <w:tcPr>
            <w:tcW w:w="861" w:type="dxa"/>
          </w:tcPr>
          <w:p w14:paraId="01E55233"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850" w:type="dxa"/>
          </w:tcPr>
          <w:p w14:paraId="558F0D2C"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12</w:t>
            </w:r>
          </w:p>
        </w:tc>
        <w:tc>
          <w:tcPr>
            <w:cnfStyle w:val="000100000000" w:firstRow="0" w:lastRow="0" w:firstColumn="0" w:lastColumn="1" w:oddVBand="0" w:evenVBand="0" w:oddHBand="0" w:evenHBand="0" w:firstRowFirstColumn="0" w:firstRowLastColumn="0" w:lastRowFirstColumn="0" w:lastRowLastColumn="0"/>
            <w:tcW w:w="993" w:type="dxa"/>
          </w:tcPr>
          <w:p w14:paraId="6BF935FD"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30</w:t>
            </w:r>
          </w:p>
        </w:tc>
      </w:tr>
      <w:tr w:rsidR="002D593C" w:rsidRPr="00ED7B99" w14:paraId="310A271D" w14:textId="77777777" w:rsidTr="002D593C">
        <w:tc>
          <w:tcPr>
            <w:cnfStyle w:val="001000000000" w:firstRow="0" w:lastRow="0" w:firstColumn="1" w:lastColumn="0" w:oddVBand="0" w:evenVBand="0" w:oddHBand="0" w:evenHBand="0" w:firstRowFirstColumn="0" w:firstRowLastColumn="0" w:lastRowFirstColumn="0" w:lastRowLastColumn="0"/>
            <w:tcW w:w="533" w:type="dxa"/>
          </w:tcPr>
          <w:p w14:paraId="55F00DB2"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14.</w:t>
            </w:r>
          </w:p>
        </w:tc>
        <w:tc>
          <w:tcPr>
            <w:tcW w:w="1579" w:type="dxa"/>
          </w:tcPr>
          <w:p w14:paraId="754A541B"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Inovativni business startup centar SERDA</w:t>
            </w:r>
          </w:p>
        </w:tc>
        <w:tc>
          <w:tcPr>
            <w:tcW w:w="1417" w:type="dxa"/>
          </w:tcPr>
          <w:p w14:paraId="3F8985F9"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Razvojna agencija SERDA</w:t>
            </w:r>
          </w:p>
        </w:tc>
        <w:tc>
          <w:tcPr>
            <w:tcW w:w="1701" w:type="dxa"/>
          </w:tcPr>
          <w:p w14:paraId="19E5662B"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xml:space="preserve">Uredski prostor </w:t>
            </w:r>
          </w:p>
          <w:p w14:paraId="108D48C1" w14:textId="77777777" w:rsidR="002D593C" w:rsidRPr="00ED7B99" w:rsidRDefault="002D593C" w:rsidP="002D593C">
            <w:pPr>
              <w:tabs>
                <w:tab w:val="left" w:pos="90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150 m2</w:t>
            </w:r>
          </w:p>
        </w:tc>
        <w:tc>
          <w:tcPr>
            <w:tcW w:w="1275" w:type="dxa"/>
          </w:tcPr>
          <w:p w14:paraId="172CD262" w14:textId="77777777" w:rsidR="002D593C" w:rsidRPr="00ED7B99" w:rsidRDefault="002D593C" w:rsidP="002D593C">
            <w:pPr>
              <w:tabs>
                <w:tab w:val="left" w:pos="90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74.455</w:t>
            </w:r>
          </w:p>
        </w:tc>
        <w:tc>
          <w:tcPr>
            <w:tcW w:w="861" w:type="dxa"/>
          </w:tcPr>
          <w:p w14:paraId="2D8FAAE8"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w:t>
            </w:r>
          </w:p>
        </w:tc>
        <w:tc>
          <w:tcPr>
            <w:tcW w:w="850" w:type="dxa"/>
          </w:tcPr>
          <w:p w14:paraId="7B9C4DAF" w14:textId="77777777" w:rsidR="002D593C" w:rsidRPr="00ED7B99" w:rsidRDefault="002D593C" w:rsidP="002D593C">
            <w:pPr>
              <w:tabs>
                <w:tab w:val="left" w:pos="90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20</w:t>
            </w:r>
          </w:p>
        </w:tc>
        <w:tc>
          <w:tcPr>
            <w:cnfStyle w:val="000100000000" w:firstRow="0" w:lastRow="0" w:firstColumn="0" w:lastColumn="1" w:oddVBand="0" w:evenVBand="0" w:oddHBand="0" w:evenHBand="0" w:firstRowFirstColumn="0" w:firstRowLastColumn="0" w:lastRowFirstColumn="0" w:lastRowLastColumn="0"/>
            <w:tcW w:w="993" w:type="dxa"/>
          </w:tcPr>
          <w:p w14:paraId="365D36C0" w14:textId="77777777" w:rsidR="002D593C" w:rsidRPr="00ED7B99" w:rsidRDefault="002D593C" w:rsidP="002D593C">
            <w:pPr>
              <w:tabs>
                <w:tab w:val="left" w:pos="900"/>
              </w:tabs>
              <w:jc w:val="center"/>
              <w:rPr>
                <w:rFonts w:asciiTheme="majorHAnsi" w:hAnsiTheme="majorHAnsi" w:cstheme="majorHAnsi"/>
                <w:sz w:val="18"/>
                <w:szCs w:val="18"/>
              </w:rPr>
            </w:pPr>
            <w:r w:rsidRPr="00ED7B99">
              <w:rPr>
                <w:rFonts w:asciiTheme="majorHAnsi" w:hAnsiTheme="majorHAnsi" w:cstheme="majorHAnsi"/>
                <w:sz w:val="18"/>
                <w:szCs w:val="18"/>
              </w:rPr>
              <w:t>45</w:t>
            </w:r>
          </w:p>
        </w:tc>
      </w:tr>
      <w:tr w:rsidR="002D593C" w:rsidRPr="00ED7B99" w14:paraId="577ADFF2" w14:textId="77777777" w:rsidTr="002D593C">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33" w:type="dxa"/>
          </w:tcPr>
          <w:p w14:paraId="6D8B4253" w14:textId="77777777" w:rsidR="002D593C" w:rsidRPr="00ED7B99" w:rsidRDefault="002D593C" w:rsidP="002D593C">
            <w:pPr>
              <w:tabs>
                <w:tab w:val="left" w:pos="900"/>
              </w:tabs>
              <w:rPr>
                <w:rFonts w:asciiTheme="majorHAnsi" w:hAnsiTheme="majorHAnsi" w:cstheme="majorHAnsi"/>
                <w:b w:val="0"/>
                <w:sz w:val="18"/>
                <w:szCs w:val="18"/>
              </w:rPr>
            </w:pPr>
          </w:p>
        </w:tc>
        <w:tc>
          <w:tcPr>
            <w:tcW w:w="1579" w:type="dxa"/>
          </w:tcPr>
          <w:p w14:paraId="127C4C3D" w14:textId="77777777" w:rsidR="002D593C" w:rsidRPr="00ED7B99" w:rsidRDefault="002D593C" w:rsidP="002D593C">
            <w:pPr>
              <w:tabs>
                <w:tab w:val="left" w:pos="900"/>
              </w:tabs>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Ukupno</w:t>
            </w:r>
          </w:p>
        </w:tc>
        <w:tc>
          <w:tcPr>
            <w:tcW w:w="3118" w:type="dxa"/>
            <w:gridSpan w:val="2"/>
          </w:tcPr>
          <w:p w14:paraId="45856ACB" w14:textId="77777777" w:rsidR="002D593C" w:rsidRPr="00ED7B99" w:rsidRDefault="002D593C" w:rsidP="002D593C">
            <w:pPr>
              <w:tabs>
                <w:tab w:val="left" w:pos="900"/>
              </w:tabs>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sz w:val="18"/>
                <w:szCs w:val="18"/>
                <w:highlight w:val="yellow"/>
              </w:rPr>
            </w:pPr>
          </w:p>
        </w:tc>
        <w:tc>
          <w:tcPr>
            <w:tcW w:w="1275" w:type="dxa"/>
          </w:tcPr>
          <w:p w14:paraId="2A5ED526" w14:textId="77777777" w:rsidR="002D593C" w:rsidRPr="00ED7B99" w:rsidRDefault="002D593C" w:rsidP="002D593C">
            <w:pPr>
              <w:tabs>
                <w:tab w:val="left" w:pos="900"/>
              </w:tabs>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10.322.205</w:t>
            </w:r>
          </w:p>
        </w:tc>
        <w:tc>
          <w:tcPr>
            <w:tcW w:w="861" w:type="dxa"/>
          </w:tcPr>
          <w:p w14:paraId="1323DFC2" w14:textId="77777777" w:rsidR="002D593C" w:rsidRPr="00ED7B99" w:rsidRDefault="002D593C" w:rsidP="002D593C">
            <w:pPr>
              <w:tabs>
                <w:tab w:val="left" w:pos="900"/>
              </w:tabs>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44</w:t>
            </w:r>
          </w:p>
        </w:tc>
        <w:tc>
          <w:tcPr>
            <w:tcW w:w="850" w:type="dxa"/>
          </w:tcPr>
          <w:p w14:paraId="624BDDDB" w14:textId="77777777" w:rsidR="002D593C" w:rsidRPr="00ED7B99" w:rsidRDefault="002D593C" w:rsidP="002D593C">
            <w:pPr>
              <w:tabs>
                <w:tab w:val="left" w:pos="900"/>
              </w:tabs>
              <w:jc w:val="center"/>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ED7B99">
              <w:rPr>
                <w:rFonts w:asciiTheme="majorHAnsi" w:hAnsiTheme="majorHAnsi" w:cstheme="majorHAnsi"/>
                <w:sz w:val="18"/>
                <w:szCs w:val="18"/>
              </w:rPr>
              <w:t>197</w:t>
            </w:r>
          </w:p>
        </w:tc>
        <w:tc>
          <w:tcPr>
            <w:cnfStyle w:val="000100000000" w:firstRow="0" w:lastRow="0" w:firstColumn="0" w:lastColumn="1" w:oddVBand="0" w:evenVBand="0" w:oddHBand="0" w:evenHBand="0" w:firstRowFirstColumn="0" w:firstRowLastColumn="0" w:lastRowFirstColumn="0" w:lastRowLastColumn="0"/>
            <w:tcW w:w="993" w:type="dxa"/>
          </w:tcPr>
          <w:p w14:paraId="138B063C" w14:textId="77777777" w:rsidR="002D593C" w:rsidRPr="00ED7B99" w:rsidRDefault="002D593C" w:rsidP="002D593C">
            <w:pPr>
              <w:tabs>
                <w:tab w:val="left" w:pos="900"/>
              </w:tabs>
              <w:jc w:val="center"/>
              <w:rPr>
                <w:rFonts w:asciiTheme="majorHAnsi" w:hAnsiTheme="majorHAnsi" w:cstheme="majorHAnsi"/>
                <w:b w:val="0"/>
                <w:sz w:val="18"/>
                <w:szCs w:val="18"/>
              </w:rPr>
            </w:pPr>
            <w:r w:rsidRPr="00ED7B99">
              <w:rPr>
                <w:rFonts w:asciiTheme="majorHAnsi" w:hAnsiTheme="majorHAnsi" w:cstheme="majorHAnsi"/>
                <w:sz w:val="18"/>
                <w:szCs w:val="18"/>
              </w:rPr>
              <w:t>908</w:t>
            </w:r>
          </w:p>
        </w:tc>
      </w:tr>
    </w:tbl>
    <w:p w14:paraId="1FEE30F1" w14:textId="77777777" w:rsidR="002D593C" w:rsidRPr="00ED7B99" w:rsidRDefault="002D593C" w:rsidP="002D593C">
      <w:pPr>
        <w:tabs>
          <w:tab w:val="left" w:pos="900"/>
        </w:tabs>
        <w:spacing w:after="0"/>
        <w:rPr>
          <w:rFonts w:asciiTheme="majorHAnsi" w:hAnsiTheme="majorHAnsi" w:cstheme="majorHAnsi"/>
          <w:i/>
          <w:iCs/>
          <w:sz w:val="18"/>
          <w:szCs w:val="18"/>
        </w:rPr>
      </w:pPr>
      <w:r w:rsidRPr="00ED7B99">
        <w:rPr>
          <w:rFonts w:asciiTheme="majorHAnsi" w:hAnsiTheme="majorHAnsi" w:cstheme="majorHAnsi"/>
          <w:i/>
          <w:iCs/>
          <w:sz w:val="18"/>
          <w:szCs w:val="18"/>
        </w:rPr>
        <w:t>Izvor: Federalno ministarstvo razvoja, poduzetništva i obrta, Informacija o stanju poduzetničke infrastrukture u FBiH 2020.</w:t>
      </w:r>
    </w:p>
    <w:p w14:paraId="0FD841DB" w14:textId="77777777" w:rsidR="002D593C" w:rsidRPr="00ED7B99" w:rsidRDefault="002D593C" w:rsidP="002D593C">
      <w:pPr>
        <w:tabs>
          <w:tab w:val="left" w:pos="900"/>
        </w:tabs>
        <w:spacing w:after="0"/>
        <w:rPr>
          <w:rFonts w:asciiTheme="majorHAnsi" w:hAnsiTheme="majorHAnsi" w:cstheme="majorHAnsi"/>
        </w:rPr>
      </w:pPr>
    </w:p>
    <w:p w14:paraId="766319CA" w14:textId="77777777" w:rsidR="006279EB" w:rsidRPr="00ED7B99" w:rsidRDefault="006279EB" w:rsidP="0018367B">
      <w:pPr>
        <w:tabs>
          <w:tab w:val="left" w:pos="900"/>
        </w:tabs>
        <w:spacing w:after="0"/>
        <w:jc w:val="both"/>
        <w:rPr>
          <w:rFonts w:asciiTheme="majorHAnsi" w:hAnsiTheme="majorHAnsi" w:cstheme="majorHAnsi"/>
        </w:rPr>
      </w:pPr>
      <w:r w:rsidRPr="00ED7B99">
        <w:rPr>
          <w:rFonts w:asciiTheme="majorHAnsi" w:hAnsiTheme="majorHAnsi" w:cstheme="majorHAnsi"/>
        </w:rPr>
        <w:t xml:space="preserve">Poduzetnički inkubatori koji su osnovani i skorijem periodu se ugalvnom baziraju na novim tehnologijma, ali izazov u kontekstu poduzetničkih inkubatora jeste da vrlo često inkubatori gube funkciju podrške preduzećima u start up fazi jer brojna preduzeća koja uđu u inkubator u istom ostaju trajno, te u svrhu očuvanju održivosti, inkubatori iznajmljuju premise preduzećima po komercijalnim uslovima. </w:t>
      </w:r>
    </w:p>
    <w:p w14:paraId="52E1532B" w14:textId="77777777" w:rsidR="006279EB" w:rsidRPr="00ED7B99" w:rsidRDefault="006279EB" w:rsidP="006279EB">
      <w:pPr>
        <w:tabs>
          <w:tab w:val="left" w:pos="900"/>
        </w:tabs>
        <w:spacing w:after="0"/>
        <w:rPr>
          <w:rFonts w:asciiTheme="majorHAnsi" w:hAnsiTheme="majorHAnsi" w:cstheme="majorHAnsi"/>
        </w:rPr>
      </w:pPr>
    </w:p>
    <w:p w14:paraId="29406AF8" w14:textId="77777777" w:rsidR="0018367B" w:rsidRPr="00ED7B99" w:rsidRDefault="0018367B" w:rsidP="00C117BE">
      <w:pPr>
        <w:spacing w:after="0"/>
        <w:jc w:val="both"/>
        <w:rPr>
          <w:rFonts w:asciiTheme="majorHAnsi" w:hAnsiTheme="majorHAnsi" w:cstheme="majorHAnsi"/>
        </w:rPr>
      </w:pPr>
      <w:r w:rsidRPr="00ED7B99">
        <w:rPr>
          <w:rFonts w:asciiTheme="majorHAnsi" w:hAnsiTheme="majorHAnsi" w:cstheme="majorHAnsi"/>
        </w:rPr>
        <w:t>U Federaciji BiH, trenut</w:t>
      </w:r>
      <w:r w:rsidR="00DB701F" w:rsidRPr="00ED7B99">
        <w:rPr>
          <w:rFonts w:asciiTheme="majorHAnsi" w:hAnsiTheme="majorHAnsi" w:cstheme="majorHAnsi"/>
        </w:rPr>
        <w:t>no je</w:t>
      </w:r>
      <w:r w:rsidRPr="00ED7B99">
        <w:rPr>
          <w:rFonts w:asciiTheme="majorHAnsi" w:hAnsiTheme="majorHAnsi" w:cstheme="majorHAnsi"/>
        </w:rPr>
        <w:t xml:space="preserve"> uspostavljen</w:t>
      </w:r>
      <w:r w:rsidR="00DB701F" w:rsidRPr="00ED7B99">
        <w:rPr>
          <w:rFonts w:asciiTheme="majorHAnsi" w:hAnsiTheme="majorHAnsi" w:cstheme="majorHAnsi"/>
        </w:rPr>
        <w:t>o</w:t>
      </w:r>
      <w:r w:rsidRPr="00ED7B99">
        <w:rPr>
          <w:rFonts w:asciiTheme="majorHAnsi" w:hAnsiTheme="majorHAnsi" w:cstheme="majorHAnsi"/>
        </w:rPr>
        <w:t xml:space="preserve"> </w:t>
      </w:r>
      <w:r w:rsidR="00DB701F" w:rsidRPr="00ED7B99">
        <w:rPr>
          <w:rFonts w:asciiTheme="majorHAnsi" w:hAnsiTheme="majorHAnsi" w:cstheme="majorHAnsi"/>
        </w:rPr>
        <w:t>5</w:t>
      </w:r>
      <w:r w:rsidRPr="00ED7B99">
        <w:rPr>
          <w:rFonts w:asciiTheme="majorHAnsi" w:hAnsiTheme="majorHAnsi" w:cstheme="majorHAnsi"/>
        </w:rPr>
        <w:t xml:space="preserve"> </w:t>
      </w:r>
      <w:r w:rsidRPr="00ED7B99">
        <w:rPr>
          <w:rFonts w:asciiTheme="majorHAnsi" w:hAnsiTheme="majorHAnsi" w:cstheme="majorHAnsi"/>
          <w:u w:val="single"/>
        </w:rPr>
        <w:t>tehnološk</w:t>
      </w:r>
      <w:r w:rsidR="00DB701F" w:rsidRPr="00ED7B99">
        <w:rPr>
          <w:rFonts w:asciiTheme="majorHAnsi" w:hAnsiTheme="majorHAnsi" w:cstheme="majorHAnsi"/>
          <w:u w:val="single"/>
        </w:rPr>
        <w:t>ih</w:t>
      </w:r>
      <w:r w:rsidRPr="00ED7B99">
        <w:rPr>
          <w:rFonts w:asciiTheme="majorHAnsi" w:hAnsiTheme="majorHAnsi" w:cstheme="majorHAnsi"/>
          <w:u w:val="single"/>
        </w:rPr>
        <w:t xml:space="preserve"> park</w:t>
      </w:r>
      <w:r w:rsidR="00DB701F" w:rsidRPr="00ED7B99">
        <w:rPr>
          <w:rFonts w:asciiTheme="majorHAnsi" w:hAnsiTheme="majorHAnsi" w:cstheme="majorHAnsi"/>
          <w:u w:val="single"/>
        </w:rPr>
        <w:t>ova</w:t>
      </w:r>
      <w:r w:rsidRPr="00ED7B99">
        <w:rPr>
          <w:rFonts w:asciiTheme="majorHAnsi" w:hAnsiTheme="majorHAnsi" w:cstheme="majorHAnsi"/>
        </w:rPr>
        <w:t xml:space="preserve"> u kojima se osigurava koncentracija znanja, visoke tehnologije, obrazovanja i povezanosti sa svjetskim obrazovnim institucijama. Radi se o </w:t>
      </w:r>
      <w:r w:rsidR="00DB701F" w:rsidRPr="00ED7B99">
        <w:rPr>
          <w:rFonts w:asciiTheme="majorHAnsi" w:hAnsiTheme="majorHAnsi" w:cstheme="majorHAnsi"/>
        </w:rPr>
        <w:t>tehhnološkim parkovimu  u Zenici, Mostaru, Tuzli, Posušju i Livnu. Posebno je značajno povećanja broja MSP-a u ovim institucijama poduzetničke infrastrukture, ali i broja zaposlenih u tim firmama kojima su ovi tehnološki parkovi bili ili su i dalje lokacije gdje posluju.</w:t>
      </w:r>
    </w:p>
    <w:p w14:paraId="27547779" w14:textId="77777777" w:rsidR="00DB701F" w:rsidRPr="00ED7B99" w:rsidRDefault="00DB701F" w:rsidP="00C117BE">
      <w:pPr>
        <w:shd w:val="clear" w:color="auto" w:fill="FFFFFF"/>
        <w:spacing w:after="0"/>
        <w:jc w:val="both"/>
        <w:rPr>
          <w:rFonts w:asciiTheme="majorHAnsi" w:hAnsiTheme="majorHAnsi" w:cstheme="majorHAnsi"/>
        </w:rPr>
      </w:pPr>
    </w:p>
    <w:p w14:paraId="6E782C74" w14:textId="77777777" w:rsidR="00DB701F" w:rsidRPr="00ED7B99" w:rsidRDefault="00DB701F" w:rsidP="00C117BE">
      <w:pPr>
        <w:shd w:val="clear" w:color="auto" w:fill="FFFFFF"/>
        <w:spacing w:after="0"/>
        <w:jc w:val="both"/>
        <w:rPr>
          <w:rFonts w:asciiTheme="majorHAnsi" w:hAnsiTheme="majorHAnsi" w:cstheme="majorHAnsi"/>
        </w:rPr>
      </w:pPr>
      <w:r w:rsidRPr="00ED7B99">
        <w:rPr>
          <w:rFonts w:asciiTheme="majorHAnsi" w:hAnsiTheme="majorHAnsi" w:cstheme="majorHAnsi"/>
          <w:i/>
          <w:iCs/>
        </w:rPr>
        <w:t>Poduzetnički centri</w:t>
      </w:r>
      <w:r w:rsidRPr="00ED7B99">
        <w:rPr>
          <w:rFonts w:asciiTheme="majorHAnsi" w:hAnsiTheme="majorHAnsi" w:cstheme="majorHAnsi"/>
        </w:rPr>
        <w:t xml:space="preserve"> se osnivaju kao središta stručne i savjetodavne pomoći poduzetnicima, a prema  podacima dobivenim na osnovu upitnika Federalnog ministarstva razvoja, poduzetništva i obrta, u gradovima i općinama FBiH postoji 15-tak poduzetničkih centara, koji sa većim ili manjim uspjehom obavljaju svoju misiju. Ključni nedostatak ovih centara jeste osiguranje održivosti.</w:t>
      </w:r>
    </w:p>
    <w:p w14:paraId="134E53A2" w14:textId="77777777" w:rsidR="00C117BE" w:rsidRPr="00ED7B99" w:rsidRDefault="00C117BE" w:rsidP="00C117BE">
      <w:pPr>
        <w:shd w:val="clear" w:color="auto" w:fill="FFFFFF"/>
        <w:spacing w:after="0"/>
        <w:jc w:val="both"/>
        <w:rPr>
          <w:rFonts w:asciiTheme="majorHAnsi" w:hAnsiTheme="majorHAnsi" w:cstheme="majorHAnsi"/>
        </w:rPr>
      </w:pPr>
    </w:p>
    <w:p w14:paraId="3EEB1A22" w14:textId="77777777" w:rsidR="00DB701F" w:rsidRPr="00ED7B99" w:rsidRDefault="00DB701F" w:rsidP="00C117BE">
      <w:pPr>
        <w:jc w:val="both"/>
        <w:rPr>
          <w:rFonts w:asciiTheme="majorHAnsi" w:hAnsiTheme="majorHAnsi" w:cstheme="majorHAnsi"/>
        </w:rPr>
      </w:pPr>
      <w:r w:rsidRPr="00ED7B99">
        <w:rPr>
          <w:rFonts w:asciiTheme="majorHAnsi" w:hAnsiTheme="majorHAnsi" w:cstheme="majorHAnsi"/>
          <w:u w:val="single"/>
        </w:rPr>
        <w:t>Klaster</w:t>
      </w:r>
      <w:r w:rsidRPr="00ED7B99">
        <w:rPr>
          <w:rFonts w:asciiTheme="majorHAnsi" w:hAnsiTheme="majorHAnsi" w:cstheme="majorHAnsi"/>
        </w:rPr>
        <w:t>i, kao dio poduzetničkih potpornih instituacija, su od velike važnosti jer je cilj njihovog osnivanja povećanje saradnje preduzeća iz istog sektora u svrhu povećanja produktivnosti i konkuretntnosti. Iako je postojao trend osnivanja klastera, nažalost, u BiH u posljednje vrijeme dolazi do smanjenja broja klastera ili pak pada obima njihove aktivnosti. Sa druge strane</w:t>
      </w:r>
      <w:r w:rsidR="00C117BE" w:rsidRPr="00ED7B99">
        <w:rPr>
          <w:rFonts w:asciiTheme="majorHAnsi" w:hAnsiTheme="majorHAnsi" w:cstheme="majorHAnsi"/>
        </w:rPr>
        <w:t xml:space="preserve">, na području Hercegovine došlo je do porasta broja klastera te su osnovana tri nova (Drvni klaster Hercegovine, Klaster metala i plastike i Klaster kamena Hercegovina) koja </w:t>
      </w:r>
      <w:r w:rsidRPr="00ED7B99">
        <w:rPr>
          <w:rFonts w:asciiTheme="majorHAnsi" w:hAnsiTheme="majorHAnsi" w:cstheme="majorHAnsi"/>
        </w:rPr>
        <w:t xml:space="preserve">pokrivaju većinu proizvodnih grana </w:t>
      </w:r>
      <w:r w:rsidR="00C117BE" w:rsidRPr="00ED7B99">
        <w:rPr>
          <w:rFonts w:asciiTheme="majorHAnsi" w:hAnsiTheme="majorHAnsi" w:cstheme="majorHAnsi"/>
        </w:rPr>
        <w:t>na ovom području</w:t>
      </w:r>
      <w:r w:rsidRPr="00ED7B99">
        <w:rPr>
          <w:rFonts w:asciiTheme="majorHAnsi" w:hAnsiTheme="majorHAnsi" w:cstheme="majorHAnsi"/>
        </w:rPr>
        <w:t xml:space="preserve">. </w:t>
      </w:r>
    </w:p>
    <w:p w14:paraId="5C56719A" w14:textId="77777777" w:rsidR="00E440CE" w:rsidRPr="00ED7B99" w:rsidRDefault="003422A9">
      <w:pPr>
        <w:pBdr>
          <w:top w:val="nil"/>
          <w:left w:val="nil"/>
          <w:bottom w:val="nil"/>
          <w:right w:val="nil"/>
          <w:between w:val="nil"/>
        </w:pBdr>
        <w:spacing w:after="120" w:line="240" w:lineRule="auto"/>
        <w:jc w:val="both"/>
        <w:rPr>
          <w:rFonts w:asciiTheme="majorHAnsi" w:hAnsiTheme="majorHAnsi" w:cstheme="majorHAnsi"/>
        </w:rPr>
      </w:pPr>
      <w:r w:rsidRPr="00ED7B99">
        <w:rPr>
          <w:rFonts w:asciiTheme="majorHAnsi" w:hAnsiTheme="majorHAnsi" w:cstheme="majorHAnsi"/>
        </w:rPr>
        <w:t>U posljednjem periodu coworking prostori postaju sve značajniji aspekti usluga poduzetničke infrastrukture za subjekte male privrede. Na području Federacije BiH uspostavljeno je preko 10 coworking prostora, najviše u Sarajevu (HUB387, Networks, HomeWork Hub i dr.). Ovi prostori nude tzv. dijeljeni prostor za rad  i razmjenu iskustava sa osobama sličnih interesa. Na raspolaganju su open-space prostorije sa dodijeljenim radnim stolom, a neki od njih nude i privatne kancelarije. Moguće je koršitenje konferencijskih sala (u ovisnosti od prostora), kao i zajednikog kancelarijskog inventara, printer i slična oprema potrebna za efikasno izvršavanje poslovnih aktivnosti.</w:t>
      </w:r>
    </w:p>
    <w:p w14:paraId="7B510652" w14:textId="77777777" w:rsidR="00E440CE" w:rsidRPr="00ED7B99" w:rsidRDefault="003422A9">
      <w:pPr>
        <w:pBdr>
          <w:top w:val="nil"/>
          <w:left w:val="nil"/>
          <w:bottom w:val="nil"/>
          <w:right w:val="nil"/>
          <w:between w:val="nil"/>
        </w:pBdr>
        <w:spacing w:after="120" w:line="240" w:lineRule="auto"/>
        <w:jc w:val="both"/>
        <w:rPr>
          <w:rFonts w:asciiTheme="majorHAnsi" w:hAnsiTheme="majorHAnsi" w:cstheme="majorHAnsi"/>
          <w:sz w:val="20"/>
          <w:szCs w:val="20"/>
        </w:rPr>
      </w:pPr>
      <w:r w:rsidRPr="00ED7B99">
        <w:rPr>
          <w:rFonts w:asciiTheme="majorHAnsi" w:hAnsiTheme="majorHAnsi" w:cstheme="majorHAnsi"/>
        </w:rPr>
        <w:t xml:space="preserve">Uspostava, funkcionisanje kao i druga pitanja od značaja za slobodne zone, kao dijela sistema poduzetničke infrastrukture u FBiH propisane su Zakon o slobodnim zonama </w:t>
      </w:r>
      <w:r w:rsidRPr="00ED7B99">
        <w:rPr>
          <w:rFonts w:asciiTheme="majorHAnsi" w:hAnsiTheme="majorHAnsi" w:cstheme="majorHAnsi"/>
        </w:rPr>
        <w:lastRenderedPageBreak/>
        <w:t>Federacije BiH ( “Službene novine FBiH” br. 25/22) koji je donesen u martu 2022. godine. Zakon utvrđuje uslove za davanje saglasnosti o opravdanosti određivanja dijela carinskog područja Bosne i Hercegovine na teritoriji Federacije Bosne i Hercegovine kao slobodne zone, djelatnosti koje se mogu obavljati u slobodnoj zoni i uslovi za obavljanje tih djelatnosti i prestanak rada slobodne zone. Zakonom je propisana i obaveza dostavljanja godišnjeg izvještaja o rezultatima rada slobodne zone Federalnom ministarstvu trgovine, a istim se mora dokazati da vrijednost robe koja se izvozi iz slobodne zone prelazi najmanje 50 posto od ukupne vrijednosti proizvedene robe koja napušta slobodnu zonu u periodu od 12 mjeseci.  U Federaciji BiH aktivne su 4 slobodne zone, koje su ujedno i jedine postojeće slobodne zone u BiH, i to: "Holc", d.o.o Puračić, "Vogošća" d.o.o Vogošća , "Visoko" d.o.o Visoko i "Hercegovina" Mostar.</w:t>
      </w:r>
      <w:r w:rsidRPr="00ED7B99">
        <w:rPr>
          <w:rFonts w:asciiTheme="majorHAnsi" w:hAnsiTheme="majorHAnsi" w:cstheme="majorHAnsi"/>
          <w:sz w:val="20"/>
          <w:szCs w:val="20"/>
        </w:rPr>
        <w:t xml:space="preserve"> </w:t>
      </w:r>
    </w:p>
    <w:p w14:paraId="6E6C6EC6" w14:textId="77777777" w:rsidR="00C117BE" w:rsidRPr="00ED7B99" w:rsidRDefault="00C117BE" w:rsidP="00C117BE">
      <w:pPr>
        <w:pBdr>
          <w:top w:val="nil"/>
          <w:left w:val="nil"/>
          <w:bottom w:val="nil"/>
          <w:right w:val="nil"/>
          <w:between w:val="nil"/>
        </w:pBdr>
        <w:spacing w:after="120" w:line="240" w:lineRule="auto"/>
        <w:jc w:val="both"/>
        <w:rPr>
          <w:rFonts w:asciiTheme="majorHAnsi" w:hAnsiTheme="majorHAnsi" w:cstheme="majorHAnsi"/>
        </w:rPr>
      </w:pPr>
      <w:r w:rsidRPr="00ED7B99">
        <w:rPr>
          <w:rFonts w:asciiTheme="majorHAnsi" w:hAnsiTheme="majorHAnsi" w:cstheme="majorHAnsi"/>
        </w:rPr>
        <w:t xml:space="preserve">Na osnovu navedenih podataka, moguće je zaključiti da je poduzetnička infrastruktura u FBiH još uvijek nedovoljno razvijena, ali se bilježi pomak u razvoju poduzetničkih zona, za šta postoji izuzetan interes jedinica lokalne samouprave. Nakon COVID-19 pandemije, jedan od načina podrške daljem oporavku subjekata male privrede ali i njihovom razvoju jeste i poticanje osnivanja novih poduzetničkih zona i poduzetničkih potpornih institucija uz jačanje kapaciteta postojećih subjekata poduzetničke infrastrukture. </w:t>
      </w:r>
    </w:p>
    <w:p w14:paraId="1E4268D4" w14:textId="77777777" w:rsidR="00E440CE" w:rsidRPr="00ED7B99" w:rsidRDefault="003422A9" w:rsidP="00936783">
      <w:pPr>
        <w:pStyle w:val="Heading1"/>
        <w:numPr>
          <w:ilvl w:val="0"/>
          <w:numId w:val="13"/>
        </w:numPr>
        <w:rPr>
          <w:rFonts w:asciiTheme="majorHAnsi" w:eastAsia="Calibri" w:hAnsiTheme="majorHAnsi" w:cstheme="majorHAnsi"/>
        </w:rPr>
      </w:pPr>
      <w:bookmarkStart w:id="27" w:name="_Toc117458930"/>
      <w:r w:rsidRPr="00ED7B99">
        <w:rPr>
          <w:rFonts w:asciiTheme="majorHAnsi" w:eastAsia="Calibri" w:hAnsiTheme="majorHAnsi" w:cstheme="majorHAnsi"/>
        </w:rPr>
        <w:t>Analiza utrošaka i efekta dodijeljenih poticajnih financijskih sredstava utvrđenih Budžetom Federacije BiH</w:t>
      </w:r>
      <w:bookmarkEnd w:id="27"/>
    </w:p>
    <w:p w14:paraId="74BC5A7D"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Federalno ministarstvo razvoja, poduzetništva i obrta, u periodu 2016-2021. godina,  realiziralo je podršku razvoju male privrede kroz dva programa poticaja:</w:t>
      </w:r>
    </w:p>
    <w:p w14:paraId="78E86691" w14:textId="77777777" w:rsidR="00E440CE" w:rsidRPr="00ED7B99" w:rsidRDefault="003422A9">
      <w:pPr>
        <w:numPr>
          <w:ilvl w:val="0"/>
          <w:numId w:val="5"/>
        </w:numPr>
        <w:pBdr>
          <w:top w:val="nil"/>
          <w:left w:val="nil"/>
          <w:bottom w:val="nil"/>
          <w:right w:val="nil"/>
          <w:between w:val="nil"/>
        </w:pBdr>
        <w:spacing w:after="0"/>
        <w:jc w:val="both"/>
        <w:rPr>
          <w:rFonts w:asciiTheme="majorHAnsi" w:hAnsiTheme="majorHAnsi" w:cstheme="majorHAnsi"/>
          <w:color w:val="000000"/>
        </w:rPr>
      </w:pPr>
      <w:r w:rsidRPr="00ED7B99">
        <w:rPr>
          <w:rFonts w:asciiTheme="majorHAnsi" w:hAnsiTheme="majorHAnsi" w:cstheme="majorHAnsi"/>
          <w:color w:val="000000"/>
        </w:rPr>
        <w:t xml:space="preserve"> Tekući transferi</w:t>
      </w:r>
    </w:p>
    <w:p w14:paraId="06B3BDF1" w14:textId="77777777" w:rsidR="00E440CE" w:rsidRPr="00ED7B99" w:rsidRDefault="003422A9">
      <w:pPr>
        <w:numPr>
          <w:ilvl w:val="0"/>
          <w:numId w:val="5"/>
        </w:numPr>
        <w:pBdr>
          <w:top w:val="nil"/>
          <w:left w:val="nil"/>
          <w:bottom w:val="nil"/>
          <w:right w:val="nil"/>
          <w:between w:val="nil"/>
        </w:pBdr>
        <w:jc w:val="both"/>
        <w:rPr>
          <w:rFonts w:asciiTheme="majorHAnsi" w:hAnsiTheme="majorHAnsi" w:cstheme="majorHAnsi"/>
          <w:color w:val="000000"/>
        </w:rPr>
      </w:pPr>
      <w:r w:rsidRPr="00ED7B99">
        <w:rPr>
          <w:rFonts w:asciiTheme="majorHAnsi" w:hAnsiTheme="majorHAnsi" w:cstheme="majorHAnsi"/>
          <w:color w:val="000000"/>
        </w:rPr>
        <w:t>Kreditni poticaj razvoja poduzetništva i obrta</w:t>
      </w:r>
    </w:p>
    <w:p w14:paraId="388A845E"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Programi poticaja nisu realizirani u 2020. godini zbog pandemije korona virusa COVID-19.</w:t>
      </w:r>
    </w:p>
    <w:p w14:paraId="3504DE5E" w14:textId="47ABA912" w:rsidR="00E440CE" w:rsidRPr="00A63412" w:rsidRDefault="00466A1B" w:rsidP="00A63412">
      <w:pPr>
        <w:pStyle w:val="Heading2"/>
        <w:rPr>
          <w:rFonts w:eastAsia="Calibri"/>
        </w:rPr>
      </w:pPr>
      <w:bookmarkStart w:id="28" w:name="_Toc117458931"/>
      <w:r w:rsidRPr="00A63412">
        <w:rPr>
          <w:rFonts w:eastAsia="Calibri"/>
        </w:rPr>
        <w:t>3</w:t>
      </w:r>
      <w:r w:rsidR="003422A9" w:rsidRPr="00A63412">
        <w:rPr>
          <w:rFonts w:eastAsia="Calibri"/>
        </w:rPr>
        <w:t>.1. Raspodjela sredstava „Tekućeg transfera“ po projektima i kantonima</w:t>
      </w:r>
      <w:bookmarkEnd w:id="28"/>
    </w:p>
    <w:p w14:paraId="16D39C49" w14:textId="0EF00A4C" w:rsidR="00E440CE" w:rsidRPr="00ED7B99" w:rsidRDefault="003422A9">
      <w:pPr>
        <w:jc w:val="both"/>
        <w:rPr>
          <w:rFonts w:asciiTheme="majorHAnsi" w:hAnsiTheme="majorHAnsi" w:cstheme="majorHAnsi"/>
        </w:rPr>
      </w:pPr>
      <w:r w:rsidRPr="00ED7B99">
        <w:rPr>
          <w:rFonts w:asciiTheme="majorHAnsi" w:hAnsiTheme="majorHAnsi" w:cstheme="majorHAnsi"/>
        </w:rPr>
        <w:t xml:space="preserve">Sredstava „Tekućih transfera" utvrđuju se Budžetom Federacije BiH za svaku godinu pojedinačno, a Vlada Federacije BiH na prijedlog Federalnog ministarstva. razvoja poduzetništva i obrta donosi odluku o usvajanju programa utroška sredstava s kriterijima raspodjele sredstava „Tekućih transfera". Procedure propisane odlukama Vlade Federacije BiH o načinu izbora korisnika poticajnih sredstava (raspisivanja Javnog konkursa za dodjelu poticajnih sredstava, obrazovanje Stručne komisije za izbor korisnika, te objavljivanje rezultata Javnog konkursa u  Službenim novinama Federacije BiH),  u potpunosti se poštuju. Na nivou ministarstva uspostavljena je i komisija za nadzor  i  praćenje utroška dodijeljenih financijskih sredstava. Zadatak komisije je da u cilju provedbi, odredbi  čl. 15. – 19. Zakona o poticanju razvoja male privrede ("Službene novine Federacije BiH", broj 19/06 i 25/09), odredbi Pravilnika o postupcima u provedbi programa razvoja male privrede  ("Službene novine Federacije BiH", broj 50/13, 55/13 isp. i 86/13), koje se odnose na nadzor nad dodijeljenim financijskim sredstvima, te  odredbi Ugovora o utrošku dodijeljenih sredstava, kao i drugih akata koji se odnose na provedbu programa razvoja male privrede, kontinuirano vrši praćenje utroška dodijeljenih poticajnih sredstava od strane korisnika sredstava. Komisija razmatranjem Izvještaja o utrošku dodijeljenih sredstava, zapisnički konstatira, da li korisnici poticajnih sredstava uredno izvršavaju preuzete obveze. Po završetku svih poslova i zadataka komisija sačinjava konačan izvještaj o radu i predaje ministru, a ministar Vladi Federacije BiH na usvajanje.  U svim godinama analiziranog perioda, osim u </w:t>
      </w:r>
      <w:r w:rsidRPr="00ED7B99">
        <w:rPr>
          <w:rFonts w:asciiTheme="majorHAnsi" w:hAnsiTheme="majorHAnsi" w:cstheme="majorHAnsi"/>
        </w:rPr>
        <w:lastRenderedPageBreak/>
        <w:t>2020.godini, realizirani su programi  „Tekućih transfera“ po opisanoj proceduri  i usvojeni izvještaji od strane Vlade Federacije BiH</w:t>
      </w:r>
      <w:r w:rsidR="005B52DB">
        <w:rPr>
          <w:rFonts w:asciiTheme="majorHAnsi" w:hAnsiTheme="majorHAnsi" w:cstheme="majorHAnsi"/>
        </w:rPr>
        <w:t>.</w:t>
      </w:r>
    </w:p>
    <w:p w14:paraId="4F1F51B8" w14:textId="77777777" w:rsidR="00E440CE" w:rsidRPr="00ED7B99" w:rsidRDefault="003422A9">
      <w:pPr>
        <w:jc w:val="both"/>
        <w:rPr>
          <w:rFonts w:asciiTheme="majorHAnsi" w:hAnsiTheme="majorHAnsi" w:cstheme="majorHAnsi"/>
        </w:rPr>
      </w:pPr>
      <w:bookmarkStart w:id="29" w:name="_heading=h.qsh70q" w:colFirst="0" w:colLast="0"/>
      <w:bookmarkEnd w:id="29"/>
      <w:r w:rsidRPr="00ED7B99">
        <w:rPr>
          <w:rFonts w:asciiTheme="majorHAnsi" w:hAnsiTheme="majorHAnsi" w:cstheme="majorHAnsi"/>
        </w:rPr>
        <w:t>U periodu 2016-2019. godina realizirano je 15 projekata, od koji su 3 realizirana samo jednu godinu i to u 2016. godini (Poticaj poduzetništvu žena; Poticaj poduzetništvu mladih; Poticaj projektima koje financira EU i drugi inozemni donatori;).  Projekt „Stipendiranje učenika koji se obrazuju za tradicionalne stare obrte“ realiziran je tri godine da bi u 2019. godini bio zamijenjen projektom „Stipendiranje učenika koji se obrazuju za deficitarna zanimanja“. Projekt „Tehničko usklađivanje (uvođenje ISO, HACCAP standarda i osiguranje CE znaka“ realiziran je u dvije godine i to 2016. i 2019.godine, a projekt „Pružanje mentoring usluga za subjekte malog gospodarstva“  je realiziran u dvije posljednje godine promatranog perioda. Projekti „ Izgradnja poduzetničkih zona“ i „Poticaji razvoju vezanih i posebnih obrta“ realiziraju se tri godine u kontinuitetu počev od 2017. godine. Preostalih 6 projekata realizirana su u svim godinama promatranog perioda. Naprijed navedeno ukazuje da je Federalno ministarstvo, razvoja poduzetništva i obrta aktivno pratilo potrebe subjekata male privrede i kreiralo programe u skladu s njihovim potrebama uvažavajući raspoložive mogućnosti.</w:t>
      </w:r>
    </w:p>
    <w:p w14:paraId="7F8ED855" w14:textId="3A87BF20" w:rsidR="00E440CE" w:rsidRPr="00ED7B99" w:rsidRDefault="003422A9">
      <w:pPr>
        <w:jc w:val="both"/>
        <w:rPr>
          <w:rFonts w:asciiTheme="majorHAnsi" w:hAnsiTheme="majorHAnsi" w:cstheme="majorHAnsi"/>
        </w:rPr>
      </w:pPr>
      <w:r w:rsidRPr="00ED7B99">
        <w:rPr>
          <w:rFonts w:asciiTheme="majorHAnsi" w:hAnsiTheme="majorHAnsi" w:cstheme="majorHAnsi"/>
        </w:rPr>
        <w:t>U promatranom periodu za realizaciju programa „Tekućih transfera“ utrošeno je 25.041.698 KM, a najviše sredstava na projekt „Izgradanja poduzetničkih zona“ 10,5 miliona KM ili 42%, slijedi projekt „Jačanje konkurentnosti MSP-a“ za koji je utrošeno 5,96 mil. KM ili 23,8%, a zatim projekt „Poticaji novoosnovanim subjektima malog gospodarstva“ za koji je utrošeno 3,33 mil. KM ili 13,3%. Preostalih 20,9 % sredstava utrošeno je na realizaciju 12 projek</w:t>
      </w:r>
      <w:r w:rsidR="00A63412">
        <w:rPr>
          <w:rFonts w:asciiTheme="majorHAnsi" w:hAnsiTheme="majorHAnsi" w:cstheme="majorHAnsi"/>
        </w:rPr>
        <w:t>a</w:t>
      </w:r>
      <w:r w:rsidRPr="00ED7B99">
        <w:rPr>
          <w:rFonts w:asciiTheme="majorHAnsi" w:hAnsiTheme="majorHAnsi" w:cstheme="majorHAnsi"/>
        </w:rPr>
        <w:t>ta.</w:t>
      </w:r>
    </w:p>
    <w:p w14:paraId="0F294B05" w14:textId="5DCC3662" w:rsidR="00A63412" w:rsidRDefault="00A63412" w:rsidP="00A63412">
      <w:pPr>
        <w:pStyle w:val="Caption"/>
        <w:keepNext/>
      </w:pPr>
      <w:r>
        <w:t xml:space="preserve">Tabela </w:t>
      </w:r>
      <w:fldSimple w:instr=" SEQ Tabela \* ARABIC ">
        <w:r w:rsidR="00DB6BC6">
          <w:rPr>
            <w:noProof/>
          </w:rPr>
          <w:t>21</w:t>
        </w:r>
      </w:fldSimple>
      <w:r>
        <w:t>. Pregled Tekućh transfera FMRPO 2016.-2021.</w:t>
      </w:r>
    </w:p>
    <w:tbl>
      <w:tblPr>
        <w:tblStyle w:val="af9"/>
        <w:tblW w:w="9350" w:type="dxa"/>
        <w:tblBorders>
          <w:top w:val="single" w:sz="4" w:space="0" w:color="B5C1DF"/>
          <w:left w:val="single" w:sz="4" w:space="0" w:color="B5C1DF"/>
          <w:bottom w:val="single" w:sz="4" w:space="0" w:color="B5C1DF"/>
          <w:right w:val="single" w:sz="4" w:space="0" w:color="B5C1DF"/>
          <w:insideH w:val="single" w:sz="4" w:space="0" w:color="B5C1DF"/>
          <w:insideV w:val="single" w:sz="4" w:space="0" w:color="B5C1DF"/>
        </w:tblBorders>
        <w:tblLayout w:type="fixed"/>
        <w:tblLook w:val="04A0" w:firstRow="1" w:lastRow="0" w:firstColumn="1" w:lastColumn="0" w:noHBand="0" w:noVBand="1"/>
      </w:tblPr>
      <w:tblGrid>
        <w:gridCol w:w="2239"/>
        <w:gridCol w:w="931"/>
        <w:gridCol w:w="1374"/>
        <w:gridCol w:w="1359"/>
        <w:gridCol w:w="931"/>
        <w:gridCol w:w="621"/>
        <w:gridCol w:w="1021"/>
        <w:gridCol w:w="874"/>
      </w:tblGrid>
      <w:tr w:rsidR="00E440CE" w:rsidRPr="00A63412" w14:paraId="5E2A4E5F" w14:textId="77777777" w:rsidTr="00A634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9" w:type="dxa"/>
            <w:shd w:val="clear" w:color="auto" w:fill="BCD9DE" w:themeFill="accent5" w:themeFillTint="66"/>
          </w:tcPr>
          <w:p w14:paraId="0751383F"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color w:val="000000"/>
                <w:sz w:val="18"/>
                <w:szCs w:val="18"/>
              </w:rPr>
              <w:t>Projekti</w:t>
            </w:r>
          </w:p>
        </w:tc>
        <w:tc>
          <w:tcPr>
            <w:tcW w:w="931" w:type="dxa"/>
            <w:shd w:val="clear" w:color="auto" w:fill="BCD9DE" w:themeFill="accent5" w:themeFillTint="66"/>
          </w:tcPr>
          <w:p w14:paraId="51E7905E" w14:textId="77777777" w:rsidR="00E440CE" w:rsidRPr="00A63412"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2016.</w:t>
            </w:r>
          </w:p>
        </w:tc>
        <w:tc>
          <w:tcPr>
            <w:tcW w:w="1374" w:type="dxa"/>
            <w:shd w:val="clear" w:color="auto" w:fill="BCD9DE" w:themeFill="accent5" w:themeFillTint="66"/>
          </w:tcPr>
          <w:p w14:paraId="3B9A4AED" w14:textId="77777777" w:rsidR="00E440CE" w:rsidRPr="00A63412"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2017.</w:t>
            </w:r>
          </w:p>
        </w:tc>
        <w:tc>
          <w:tcPr>
            <w:tcW w:w="1359" w:type="dxa"/>
            <w:shd w:val="clear" w:color="auto" w:fill="BCD9DE" w:themeFill="accent5" w:themeFillTint="66"/>
          </w:tcPr>
          <w:p w14:paraId="29394BB4" w14:textId="77777777" w:rsidR="00E440CE" w:rsidRPr="00A63412"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2018.</w:t>
            </w:r>
          </w:p>
        </w:tc>
        <w:tc>
          <w:tcPr>
            <w:tcW w:w="931" w:type="dxa"/>
            <w:shd w:val="clear" w:color="auto" w:fill="BCD9DE" w:themeFill="accent5" w:themeFillTint="66"/>
          </w:tcPr>
          <w:p w14:paraId="1619F78F" w14:textId="77777777" w:rsidR="00E440CE" w:rsidRPr="00A63412"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2019</w:t>
            </w:r>
          </w:p>
        </w:tc>
        <w:tc>
          <w:tcPr>
            <w:tcW w:w="621" w:type="dxa"/>
            <w:shd w:val="clear" w:color="auto" w:fill="BCD9DE" w:themeFill="accent5" w:themeFillTint="66"/>
          </w:tcPr>
          <w:p w14:paraId="7D3AE124" w14:textId="27ECFA5A" w:rsidR="00E440CE" w:rsidRPr="00A63412"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2021</w:t>
            </w:r>
          </w:p>
        </w:tc>
        <w:tc>
          <w:tcPr>
            <w:tcW w:w="1021" w:type="dxa"/>
            <w:shd w:val="clear" w:color="auto" w:fill="BCD9DE" w:themeFill="accent5" w:themeFillTint="66"/>
          </w:tcPr>
          <w:p w14:paraId="56DC2B1F" w14:textId="77777777" w:rsidR="00E440CE" w:rsidRPr="00A63412"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Ukupno</w:t>
            </w:r>
          </w:p>
        </w:tc>
        <w:tc>
          <w:tcPr>
            <w:tcW w:w="874" w:type="dxa"/>
            <w:shd w:val="clear" w:color="auto" w:fill="BCD9DE" w:themeFill="accent5" w:themeFillTint="66"/>
          </w:tcPr>
          <w:p w14:paraId="576F26A4" w14:textId="77777777" w:rsidR="00E440CE" w:rsidRPr="00A63412"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učešća</w:t>
            </w:r>
          </w:p>
        </w:tc>
      </w:tr>
      <w:tr w:rsidR="00E440CE" w:rsidRPr="00A63412" w14:paraId="1D19D413"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180D88D4"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Izgradnja poduzetničkih zona</w:t>
            </w:r>
          </w:p>
        </w:tc>
        <w:tc>
          <w:tcPr>
            <w:tcW w:w="931" w:type="dxa"/>
          </w:tcPr>
          <w:p w14:paraId="5A46D939" w14:textId="77777777" w:rsidR="00E440CE" w:rsidRPr="00A63412"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74" w:type="dxa"/>
          </w:tcPr>
          <w:p w14:paraId="6B083FF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940.369</w:t>
            </w:r>
          </w:p>
        </w:tc>
        <w:tc>
          <w:tcPr>
            <w:tcW w:w="1359" w:type="dxa"/>
          </w:tcPr>
          <w:p w14:paraId="368BB66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5.262.827</w:t>
            </w:r>
          </w:p>
        </w:tc>
        <w:tc>
          <w:tcPr>
            <w:tcW w:w="931" w:type="dxa"/>
          </w:tcPr>
          <w:p w14:paraId="28E1AA6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4.310.187</w:t>
            </w:r>
          </w:p>
        </w:tc>
        <w:tc>
          <w:tcPr>
            <w:tcW w:w="621" w:type="dxa"/>
          </w:tcPr>
          <w:p w14:paraId="7452ACC5" w14:textId="77777777" w:rsidR="00E440CE" w:rsidRPr="00A63412"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22BAF7B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10.513.382</w:t>
            </w:r>
          </w:p>
        </w:tc>
        <w:tc>
          <w:tcPr>
            <w:tcW w:w="874" w:type="dxa"/>
          </w:tcPr>
          <w:p w14:paraId="79BE85A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42,0%</w:t>
            </w:r>
          </w:p>
        </w:tc>
      </w:tr>
      <w:tr w:rsidR="00E440CE" w:rsidRPr="00A63412" w14:paraId="4C5CE898"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02E99B2C"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Poticaji inovatorima-pojedincima</w:t>
            </w:r>
          </w:p>
        </w:tc>
        <w:tc>
          <w:tcPr>
            <w:tcW w:w="931" w:type="dxa"/>
          </w:tcPr>
          <w:p w14:paraId="56F2984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49.350</w:t>
            </w:r>
          </w:p>
        </w:tc>
        <w:tc>
          <w:tcPr>
            <w:tcW w:w="1374" w:type="dxa"/>
          </w:tcPr>
          <w:p w14:paraId="33C9164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58.400</w:t>
            </w:r>
          </w:p>
        </w:tc>
        <w:tc>
          <w:tcPr>
            <w:tcW w:w="1359" w:type="dxa"/>
          </w:tcPr>
          <w:p w14:paraId="446909B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10.000</w:t>
            </w:r>
          </w:p>
        </w:tc>
        <w:tc>
          <w:tcPr>
            <w:tcW w:w="931" w:type="dxa"/>
          </w:tcPr>
          <w:p w14:paraId="0CA5D25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37.420</w:t>
            </w:r>
          </w:p>
        </w:tc>
        <w:tc>
          <w:tcPr>
            <w:tcW w:w="621" w:type="dxa"/>
          </w:tcPr>
          <w:p w14:paraId="508279C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3886363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155.170</w:t>
            </w:r>
          </w:p>
        </w:tc>
        <w:tc>
          <w:tcPr>
            <w:tcW w:w="874" w:type="dxa"/>
          </w:tcPr>
          <w:p w14:paraId="0FDA7F9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0,6%</w:t>
            </w:r>
          </w:p>
        </w:tc>
      </w:tr>
      <w:tr w:rsidR="00E440CE" w:rsidRPr="00A63412" w14:paraId="2D667B86"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2353DFEB"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Stipendiranje učenika koji se obrazuju za tradicionalne stare obrte</w:t>
            </w:r>
          </w:p>
        </w:tc>
        <w:tc>
          <w:tcPr>
            <w:tcW w:w="931" w:type="dxa"/>
          </w:tcPr>
          <w:p w14:paraId="63C205E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45.000</w:t>
            </w:r>
          </w:p>
        </w:tc>
        <w:tc>
          <w:tcPr>
            <w:tcW w:w="1374" w:type="dxa"/>
          </w:tcPr>
          <w:p w14:paraId="256925F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41.600</w:t>
            </w:r>
          </w:p>
        </w:tc>
        <w:tc>
          <w:tcPr>
            <w:tcW w:w="1359" w:type="dxa"/>
          </w:tcPr>
          <w:p w14:paraId="4DE3482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90.000</w:t>
            </w:r>
          </w:p>
        </w:tc>
        <w:tc>
          <w:tcPr>
            <w:tcW w:w="931" w:type="dxa"/>
          </w:tcPr>
          <w:p w14:paraId="2353F9E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621" w:type="dxa"/>
          </w:tcPr>
          <w:p w14:paraId="67A7D94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2D4867D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176.600</w:t>
            </w:r>
          </w:p>
        </w:tc>
        <w:tc>
          <w:tcPr>
            <w:tcW w:w="874" w:type="dxa"/>
          </w:tcPr>
          <w:p w14:paraId="4DC5840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0,7%</w:t>
            </w:r>
          </w:p>
        </w:tc>
      </w:tr>
      <w:tr w:rsidR="00E440CE" w:rsidRPr="00A63412" w14:paraId="2B231AE1"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4F9D9700"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Unapređenje institucijske poduzetničke infrastrukture</w:t>
            </w:r>
          </w:p>
        </w:tc>
        <w:tc>
          <w:tcPr>
            <w:tcW w:w="931" w:type="dxa"/>
          </w:tcPr>
          <w:p w14:paraId="6BB6B43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48.511</w:t>
            </w:r>
          </w:p>
        </w:tc>
        <w:tc>
          <w:tcPr>
            <w:tcW w:w="1374" w:type="dxa"/>
          </w:tcPr>
          <w:p w14:paraId="5B2D6ED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138.380</w:t>
            </w:r>
          </w:p>
        </w:tc>
        <w:tc>
          <w:tcPr>
            <w:tcW w:w="1359" w:type="dxa"/>
          </w:tcPr>
          <w:p w14:paraId="7900F5B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135.293</w:t>
            </w:r>
          </w:p>
        </w:tc>
        <w:tc>
          <w:tcPr>
            <w:tcW w:w="931" w:type="dxa"/>
          </w:tcPr>
          <w:p w14:paraId="34DEF9E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99.470</w:t>
            </w:r>
          </w:p>
        </w:tc>
        <w:tc>
          <w:tcPr>
            <w:tcW w:w="621" w:type="dxa"/>
          </w:tcPr>
          <w:p w14:paraId="69268C3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06DD8CF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421.653</w:t>
            </w:r>
          </w:p>
        </w:tc>
        <w:tc>
          <w:tcPr>
            <w:tcW w:w="874" w:type="dxa"/>
          </w:tcPr>
          <w:p w14:paraId="7C74E28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1,7%</w:t>
            </w:r>
          </w:p>
        </w:tc>
      </w:tr>
      <w:tr w:rsidR="00E440CE" w:rsidRPr="00A63412" w14:paraId="3E855524"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7CCAE84D"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Poticaj projektima koje financira EU i drugi inozemni donatori</w:t>
            </w:r>
          </w:p>
        </w:tc>
        <w:tc>
          <w:tcPr>
            <w:tcW w:w="931" w:type="dxa"/>
          </w:tcPr>
          <w:p w14:paraId="0F3EC58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100.000</w:t>
            </w:r>
          </w:p>
        </w:tc>
        <w:tc>
          <w:tcPr>
            <w:tcW w:w="1374" w:type="dxa"/>
          </w:tcPr>
          <w:p w14:paraId="762C100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59" w:type="dxa"/>
          </w:tcPr>
          <w:p w14:paraId="136FA36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931" w:type="dxa"/>
          </w:tcPr>
          <w:p w14:paraId="3CDD602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621" w:type="dxa"/>
          </w:tcPr>
          <w:p w14:paraId="13BE333A"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02BFEC0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100.000</w:t>
            </w:r>
          </w:p>
        </w:tc>
        <w:tc>
          <w:tcPr>
            <w:tcW w:w="874" w:type="dxa"/>
          </w:tcPr>
          <w:p w14:paraId="17CD6AC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0,4%</w:t>
            </w:r>
          </w:p>
        </w:tc>
      </w:tr>
      <w:tr w:rsidR="00E440CE" w:rsidRPr="00A63412" w14:paraId="262D2D29"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1C202D8E"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Poticaj udruženjima, komorama i obrazovnim institucijama</w:t>
            </w:r>
          </w:p>
        </w:tc>
        <w:tc>
          <w:tcPr>
            <w:tcW w:w="931" w:type="dxa"/>
          </w:tcPr>
          <w:p w14:paraId="1980748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201.489</w:t>
            </w:r>
          </w:p>
        </w:tc>
        <w:tc>
          <w:tcPr>
            <w:tcW w:w="1374" w:type="dxa"/>
          </w:tcPr>
          <w:p w14:paraId="7002637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108.957</w:t>
            </w:r>
          </w:p>
        </w:tc>
        <w:tc>
          <w:tcPr>
            <w:tcW w:w="1359" w:type="dxa"/>
          </w:tcPr>
          <w:p w14:paraId="26AF781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99.450</w:t>
            </w:r>
          </w:p>
        </w:tc>
        <w:tc>
          <w:tcPr>
            <w:tcW w:w="931" w:type="dxa"/>
          </w:tcPr>
          <w:p w14:paraId="349F07D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99.179</w:t>
            </w:r>
          </w:p>
        </w:tc>
        <w:tc>
          <w:tcPr>
            <w:tcW w:w="621" w:type="dxa"/>
          </w:tcPr>
          <w:p w14:paraId="53FD664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3B49861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509.074</w:t>
            </w:r>
          </w:p>
        </w:tc>
        <w:tc>
          <w:tcPr>
            <w:tcW w:w="874" w:type="dxa"/>
          </w:tcPr>
          <w:p w14:paraId="0EA9E11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2,0%</w:t>
            </w:r>
          </w:p>
        </w:tc>
      </w:tr>
      <w:tr w:rsidR="00E440CE" w:rsidRPr="00A63412" w14:paraId="269D502E"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2E2A56C3"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Tehničko usklađivanje (uvođenje ISO, HACCAP standarda i osiguranje CE znaka)</w:t>
            </w:r>
          </w:p>
        </w:tc>
        <w:tc>
          <w:tcPr>
            <w:tcW w:w="931" w:type="dxa"/>
          </w:tcPr>
          <w:p w14:paraId="294F3AA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217.800</w:t>
            </w:r>
          </w:p>
        </w:tc>
        <w:tc>
          <w:tcPr>
            <w:tcW w:w="1374" w:type="dxa"/>
          </w:tcPr>
          <w:p w14:paraId="5F89DAE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59" w:type="dxa"/>
          </w:tcPr>
          <w:p w14:paraId="469FBFA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931" w:type="dxa"/>
          </w:tcPr>
          <w:p w14:paraId="7987A36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128.039</w:t>
            </w:r>
          </w:p>
        </w:tc>
        <w:tc>
          <w:tcPr>
            <w:tcW w:w="621" w:type="dxa"/>
          </w:tcPr>
          <w:p w14:paraId="6393D84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39DC97A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345.839</w:t>
            </w:r>
          </w:p>
        </w:tc>
        <w:tc>
          <w:tcPr>
            <w:tcW w:w="874" w:type="dxa"/>
          </w:tcPr>
          <w:p w14:paraId="5EB37BB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1,4%</w:t>
            </w:r>
          </w:p>
        </w:tc>
      </w:tr>
      <w:tr w:rsidR="00E440CE" w:rsidRPr="00A63412" w14:paraId="52906C58"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7C19B97E"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Poticaji tradicionalnim i starim obrtima</w:t>
            </w:r>
          </w:p>
        </w:tc>
        <w:tc>
          <w:tcPr>
            <w:tcW w:w="931" w:type="dxa"/>
          </w:tcPr>
          <w:p w14:paraId="01EE0D3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347.876</w:t>
            </w:r>
          </w:p>
        </w:tc>
        <w:tc>
          <w:tcPr>
            <w:tcW w:w="1374" w:type="dxa"/>
          </w:tcPr>
          <w:p w14:paraId="247E976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180.000</w:t>
            </w:r>
          </w:p>
        </w:tc>
        <w:tc>
          <w:tcPr>
            <w:tcW w:w="1359" w:type="dxa"/>
          </w:tcPr>
          <w:p w14:paraId="2782434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174.222</w:t>
            </w:r>
          </w:p>
        </w:tc>
        <w:tc>
          <w:tcPr>
            <w:tcW w:w="931" w:type="dxa"/>
          </w:tcPr>
          <w:p w14:paraId="4B5AC50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185.074</w:t>
            </w:r>
          </w:p>
        </w:tc>
        <w:tc>
          <w:tcPr>
            <w:tcW w:w="621" w:type="dxa"/>
          </w:tcPr>
          <w:p w14:paraId="7445115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18B6AC6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887.172</w:t>
            </w:r>
          </w:p>
        </w:tc>
        <w:tc>
          <w:tcPr>
            <w:tcW w:w="874" w:type="dxa"/>
          </w:tcPr>
          <w:p w14:paraId="330143B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3,5%</w:t>
            </w:r>
          </w:p>
        </w:tc>
      </w:tr>
      <w:tr w:rsidR="00E440CE" w:rsidRPr="00A63412" w14:paraId="4AF4BB46"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09995F23" w14:textId="77777777" w:rsidR="00E440CE" w:rsidRPr="00A63412" w:rsidRDefault="003422A9">
            <w:pPr>
              <w:rPr>
                <w:rFonts w:asciiTheme="majorHAnsi" w:hAnsiTheme="majorHAnsi" w:cstheme="majorHAnsi"/>
                <w:color w:val="000000"/>
                <w:sz w:val="18"/>
                <w:szCs w:val="18"/>
              </w:rPr>
            </w:pPr>
            <w:bookmarkStart w:id="30" w:name="_heading=h.3as4poj" w:colFirst="0" w:colLast="0"/>
            <w:bookmarkEnd w:id="30"/>
            <w:r w:rsidRPr="00A63412">
              <w:rPr>
                <w:rFonts w:asciiTheme="majorHAnsi" w:hAnsiTheme="majorHAnsi" w:cstheme="majorHAnsi"/>
                <w:b w:val="0"/>
                <w:color w:val="000000"/>
                <w:sz w:val="18"/>
                <w:szCs w:val="18"/>
              </w:rPr>
              <w:t>Poticaji razvoju vezanih i posebnih obrta</w:t>
            </w:r>
          </w:p>
        </w:tc>
        <w:tc>
          <w:tcPr>
            <w:tcW w:w="931" w:type="dxa"/>
          </w:tcPr>
          <w:p w14:paraId="5BE37C2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74" w:type="dxa"/>
          </w:tcPr>
          <w:p w14:paraId="411EFE7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695.796</w:t>
            </w:r>
          </w:p>
        </w:tc>
        <w:tc>
          <w:tcPr>
            <w:tcW w:w="1359" w:type="dxa"/>
          </w:tcPr>
          <w:p w14:paraId="5D14352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478.985</w:t>
            </w:r>
          </w:p>
        </w:tc>
        <w:tc>
          <w:tcPr>
            <w:tcW w:w="931" w:type="dxa"/>
          </w:tcPr>
          <w:p w14:paraId="6B48F06A"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518.376</w:t>
            </w:r>
          </w:p>
        </w:tc>
        <w:tc>
          <w:tcPr>
            <w:tcW w:w="621" w:type="dxa"/>
          </w:tcPr>
          <w:p w14:paraId="683BF00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5E73BDAA"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1.693.157</w:t>
            </w:r>
          </w:p>
        </w:tc>
        <w:tc>
          <w:tcPr>
            <w:tcW w:w="874" w:type="dxa"/>
          </w:tcPr>
          <w:p w14:paraId="1940186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6,8%</w:t>
            </w:r>
          </w:p>
        </w:tc>
      </w:tr>
      <w:tr w:rsidR="00E440CE" w:rsidRPr="00A63412" w14:paraId="2EB5A3C2"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29C14B71"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Poticaji novoosnovanim subjektima malog gospodarstva</w:t>
            </w:r>
          </w:p>
        </w:tc>
        <w:tc>
          <w:tcPr>
            <w:tcW w:w="931" w:type="dxa"/>
          </w:tcPr>
          <w:p w14:paraId="7777EDD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692.000</w:t>
            </w:r>
          </w:p>
        </w:tc>
        <w:tc>
          <w:tcPr>
            <w:tcW w:w="1374" w:type="dxa"/>
          </w:tcPr>
          <w:p w14:paraId="4EEB348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967.694</w:t>
            </w:r>
          </w:p>
        </w:tc>
        <w:tc>
          <w:tcPr>
            <w:tcW w:w="1359" w:type="dxa"/>
          </w:tcPr>
          <w:p w14:paraId="304A211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787.131</w:t>
            </w:r>
          </w:p>
        </w:tc>
        <w:tc>
          <w:tcPr>
            <w:tcW w:w="931" w:type="dxa"/>
          </w:tcPr>
          <w:p w14:paraId="26E43C3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883.403</w:t>
            </w:r>
          </w:p>
        </w:tc>
        <w:tc>
          <w:tcPr>
            <w:tcW w:w="621" w:type="dxa"/>
          </w:tcPr>
          <w:p w14:paraId="1CE78B3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79D4600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3.330.227</w:t>
            </w:r>
          </w:p>
        </w:tc>
        <w:tc>
          <w:tcPr>
            <w:tcW w:w="874" w:type="dxa"/>
          </w:tcPr>
          <w:p w14:paraId="6375867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13,3%</w:t>
            </w:r>
          </w:p>
        </w:tc>
      </w:tr>
      <w:tr w:rsidR="00E440CE" w:rsidRPr="00A63412" w14:paraId="08715926"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0958195B"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Poticaj poduzetništvu žena</w:t>
            </w:r>
          </w:p>
        </w:tc>
        <w:tc>
          <w:tcPr>
            <w:tcW w:w="931" w:type="dxa"/>
          </w:tcPr>
          <w:p w14:paraId="13D15D4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350.000</w:t>
            </w:r>
          </w:p>
        </w:tc>
        <w:tc>
          <w:tcPr>
            <w:tcW w:w="1374" w:type="dxa"/>
          </w:tcPr>
          <w:p w14:paraId="61F5110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59" w:type="dxa"/>
          </w:tcPr>
          <w:p w14:paraId="119A893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931" w:type="dxa"/>
          </w:tcPr>
          <w:p w14:paraId="708ED6B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621" w:type="dxa"/>
          </w:tcPr>
          <w:p w14:paraId="32D1607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256D76B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350.000</w:t>
            </w:r>
          </w:p>
        </w:tc>
        <w:tc>
          <w:tcPr>
            <w:tcW w:w="874" w:type="dxa"/>
          </w:tcPr>
          <w:p w14:paraId="736F1B2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1,4%</w:t>
            </w:r>
          </w:p>
        </w:tc>
      </w:tr>
      <w:tr w:rsidR="00E440CE" w:rsidRPr="00A63412" w14:paraId="7A7AFBFD"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7F75C045"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Poticaj poduzetništvu mladih</w:t>
            </w:r>
          </w:p>
        </w:tc>
        <w:tc>
          <w:tcPr>
            <w:tcW w:w="931" w:type="dxa"/>
          </w:tcPr>
          <w:p w14:paraId="635E237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347.889</w:t>
            </w:r>
          </w:p>
        </w:tc>
        <w:tc>
          <w:tcPr>
            <w:tcW w:w="1374" w:type="dxa"/>
          </w:tcPr>
          <w:p w14:paraId="2D840EC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59" w:type="dxa"/>
          </w:tcPr>
          <w:p w14:paraId="3E38EEF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931" w:type="dxa"/>
          </w:tcPr>
          <w:p w14:paraId="29347CC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621" w:type="dxa"/>
          </w:tcPr>
          <w:p w14:paraId="5DA3D29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70D2745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347.889</w:t>
            </w:r>
          </w:p>
        </w:tc>
        <w:tc>
          <w:tcPr>
            <w:tcW w:w="874" w:type="dxa"/>
          </w:tcPr>
          <w:p w14:paraId="54C73CF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1,4%</w:t>
            </w:r>
          </w:p>
        </w:tc>
      </w:tr>
      <w:tr w:rsidR="00E440CE" w:rsidRPr="00A63412" w14:paraId="7409C5C2"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5B220973"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 xml:space="preserve">Jačanje konkurentnosti MSP-a  </w:t>
            </w:r>
          </w:p>
        </w:tc>
        <w:tc>
          <w:tcPr>
            <w:tcW w:w="931" w:type="dxa"/>
          </w:tcPr>
          <w:p w14:paraId="43D17A6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1.503.435</w:t>
            </w:r>
          </w:p>
        </w:tc>
        <w:tc>
          <w:tcPr>
            <w:tcW w:w="1374" w:type="dxa"/>
          </w:tcPr>
          <w:p w14:paraId="5650FA3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1.684.126</w:t>
            </w:r>
          </w:p>
        </w:tc>
        <w:tc>
          <w:tcPr>
            <w:tcW w:w="1359" w:type="dxa"/>
          </w:tcPr>
          <w:p w14:paraId="7B9CBA9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1.469.804</w:t>
            </w:r>
          </w:p>
        </w:tc>
        <w:tc>
          <w:tcPr>
            <w:tcW w:w="931" w:type="dxa"/>
          </w:tcPr>
          <w:p w14:paraId="46AE46A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1.301.168</w:t>
            </w:r>
          </w:p>
        </w:tc>
        <w:tc>
          <w:tcPr>
            <w:tcW w:w="621" w:type="dxa"/>
          </w:tcPr>
          <w:p w14:paraId="26D9902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037BB19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5.958.534</w:t>
            </w:r>
          </w:p>
        </w:tc>
        <w:tc>
          <w:tcPr>
            <w:tcW w:w="874" w:type="dxa"/>
          </w:tcPr>
          <w:p w14:paraId="3B59832A"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23,8%</w:t>
            </w:r>
          </w:p>
        </w:tc>
      </w:tr>
      <w:tr w:rsidR="00E440CE" w:rsidRPr="00A63412" w14:paraId="3432BB23"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35F4AC12"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lastRenderedPageBreak/>
              <w:t>Pružanje mentoring usluga za subjekte malog gospodarstva</w:t>
            </w:r>
          </w:p>
        </w:tc>
        <w:tc>
          <w:tcPr>
            <w:tcW w:w="931" w:type="dxa"/>
          </w:tcPr>
          <w:p w14:paraId="067A0D7A"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74" w:type="dxa"/>
          </w:tcPr>
          <w:p w14:paraId="1363BA1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59" w:type="dxa"/>
          </w:tcPr>
          <w:p w14:paraId="73E7DE9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9.000</w:t>
            </w:r>
          </w:p>
        </w:tc>
        <w:tc>
          <w:tcPr>
            <w:tcW w:w="931" w:type="dxa"/>
          </w:tcPr>
          <w:p w14:paraId="21537B4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17.000</w:t>
            </w:r>
          </w:p>
        </w:tc>
        <w:tc>
          <w:tcPr>
            <w:tcW w:w="621" w:type="dxa"/>
          </w:tcPr>
          <w:p w14:paraId="1AAD61F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0894B87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26.000</w:t>
            </w:r>
          </w:p>
        </w:tc>
        <w:tc>
          <w:tcPr>
            <w:tcW w:w="874" w:type="dxa"/>
          </w:tcPr>
          <w:p w14:paraId="4C74B43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0,1%</w:t>
            </w:r>
          </w:p>
        </w:tc>
      </w:tr>
      <w:tr w:rsidR="00E440CE" w:rsidRPr="00A63412" w14:paraId="5A66B135"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239" w:type="dxa"/>
          </w:tcPr>
          <w:p w14:paraId="1941EBAF" w14:textId="77777777" w:rsidR="00E440CE" w:rsidRPr="00A63412" w:rsidRDefault="003422A9">
            <w:pPr>
              <w:rPr>
                <w:rFonts w:asciiTheme="majorHAnsi" w:hAnsiTheme="majorHAnsi" w:cstheme="majorHAnsi"/>
                <w:color w:val="000000"/>
                <w:sz w:val="18"/>
                <w:szCs w:val="18"/>
              </w:rPr>
            </w:pPr>
            <w:bookmarkStart w:id="31" w:name="_heading=h.1pxezwc" w:colFirst="0" w:colLast="0"/>
            <w:bookmarkEnd w:id="31"/>
            <w:r w:rsidRPr="00A63412">
              <w:rPr>
                <w:rFonts w:asciiTheme="majorHAnsi" w:hAnsiTheme="majorHAnsi" w:cstheme="majorHAnsi"/>
                <w:b w:val="0"/>
                <w:color w:val="000000"/>
                <w:sz w:val="18"/>
                <w:szCs w:val="18"/>
              </w:rPr>
              <w:t>Stipendiranje učenika koji se obrazuju za deficitarna zanimanja</w:t>
            </w:r>
          </w:p>
        </w:tc>
        <w:tc>
          <w:tcPr>
            <w:tcW w:w="931" w:type="dxa"/>
          </w:tcPr>
          <w:p w14:paraId="10FB545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74" w:type="dxa"/>
          </w:tcPr>
          <w:p w14:paraId="14E0720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359" w:type="dxa"/>
          </w:tcPr>
          <w:p w14:paraId="0183C5F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931" w:type="dxa"/>
          </w:tcPr>
          <w:p w14:paraId="374DA65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227.000</w:t>
            </w:r>
          </w:p>
        </w:tc>
        <w:tc>
          <w:tcPr>
            <w:tcW w:w="621" w:type="dxa"/>
          </w:tcPr>
          <w:p w14:paraId="38F4024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0407F71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227.000</w:t>
            </w:r>
          </w:p>
        </w:tc>
        <w:tc>
          <w:tcPr>
            <w:tcW w:w="874" w:type="dxa"/>
          </w:tcPr>
          <w:p w14:paraId="40A022E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0,9%</w:t>
            </w:r>
          </w:p>
        </w:tc>
      </w:tr>
      <w:tr w:rsidR="00E440CE" w:rsidRPr="00A63412" w14:paraId="3AFC10A6" w14:textId="77777777" w:rsidTr="00E440CE">
        <w:trPr>
          <w:trHeight w:val="330"/>
        </w:trPr>
        <w:tc>
          <w:tcPr>
            <w:cnfStyle w:val="001000000000" w:firstRow="0" w:lastRow="0" w:firstColumn="1" w:lastColumn="0" w:oddVBand="0" w:evenVBand="0" w:oddHBand="0" w:evenHBand="0" w:firstRowFirstColumn="0" w:firstRowLastColumn="0" w:lastRowFirstColumn="0" w:lastRowLastColumn="0"/>
            <w:tcW w:w="2239" w:type="dxa"/>
          </w:tcPr>
          <w:p w14:paraId="735DF8A5"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Ukupno raspodijeljena sredstva</w:t>
            </w:r>
          </w:p>
        </w:tc>
        <w:tc>
          <w:tcPr>
            <w:tcW w:w="931" w:type="dxa"/>
          </w:tcPr>
          <w:p w14:paraId="7718B9CA"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3.903.350</w:t>
            </w:r>
          </w:p>
        </w:tc>
        <w:tc>
          <w:tcPr>
            <w:tcW w:w="1374" w:type="dxa"/>
          </w:tcPr>
          <w:p w14:paraId="0A9C714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4.815.321</w:t>
            </w:r>
          </w:p>
        </w:tc>
        <w:tc>
          <w:tcPr>
            <w:tcW w:w="1359" w:type="dxa"/>
          </w:tcPr>
          <w:p w14:paraId="2EB32E4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8.516.712</w:t>
            </w:r>
          </w:p>
        </w:tc>
        <w:tc>
          <w:tcPr>
            <w:tcW w:w="931" w:type="dxa"/>
          </w:tcPr>
          <w:p w14:paraId="2B03201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7.806.315</w:t>
            </w:r>
          </w:p>
        </w:tc>
        <w:tc>
          <w:tcPr>
            <w:tcW w:w="621" w:type="dxa"/>
          </w:tcPr>
          <w:p w14:paraId="31F2614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0</w:t>
            </w:r>
          </w:p>
        </w:tc>
        <w:tc>
          <w:tcPr>
            <w:tcW w:w="1021" w:type="dxa"/>
          </w:tcPr>
          <w:p w14:paraId="3A8ABB9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bookmarkStart w:id="32" w:name="_heading=h.49x2ik5" w:colFirst="0" w:colLast="0"/>
            <w:bookmarkEnd w:id="32"/>
            <w:r w:rsidRPr="00A63412">
              <w:rPr>
                <w:rFonts w:asciiTheme="majorHAnsi" w:hAnsiTheme="majorHAnsi" w:cstheme="majorHAnsi"/>
                <w:color w:val="000000"/>
                <w:sz w:val="18"/>
                <w:szCs w:val="18"/>
              </w:rPr>
              <w:t>25.041.698</w:t>
            </w:r>
          </w:p>
        </w:tc>
        <w:tc>
          <w:tcPr>
            <w:tcW w:w="874" w:type="dxa"/>
          </w:tcPr>
          <w:p w14:paraId="774C08D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100,0%</w:t>
            </w:r>
          </w:p>
        </w:tc>
      </w:tr>
      <w:tr w:rsidR="00E440CE" w:rsidRPr="00A63412" w14:paraId="4353C8A0" w14:textId="77777777" w:rsidTr="00E440CE">
        <w:trPr>
          <w:trHeight w:val="330"/>
        </w:trPr>
        <w:tc>
          <w:tcPr>
            <w:cnfStyle w:val="001000000000" w:firstRow="0" w:lastRow="0" w:firstColumn="1" w:lastColumn="0" w:oddVBand="0" w:evenVBand="0" w:oddHBand="0" w:evenHBand="0" w:firstRowFirstColumn="0" w:firstRowLastColumn="0" w:lastRowFirstColumn="0" w:lastRowLastColumn="0"/>
            <w:tcW w:w="2239" w:type="dxa"/>
          </w:tcPr>
          <w:p w14:paraId="7317838C" w14:textId="77777777" w:rsidR="00E440CE" w:rsidRPr="00A63412" w:rsidRDefault="003422A9">
            <w:pPr>
              <w:rPr>
                <w:rFonts w:asciiTheme="majorHAnsi" w:hAnsiTheme="majorHAnsi" w:cstheme="majorHAnsi"/>
                <w:color w:val="000000"/>
                <w:sz w:val="18"/>
                <w:szCs w:val="18"/>
              </w:rPr>
            </w:pPr>
            <w:r w:rsidRPr="00A63412">
              <w:rPr>
                <w:rFonts w:asciiTheme="majorHAnsi" w:hAnsiTheme="majorHAnsi" w:cstheme="majorHAnsi"/>
                <w:b w:val="0"/>
                <w:color w:val="000000"/>
                <w:sz w:val="18"/>
                <w:szCs w:val="18"/>
              </w:rPr>
              <w:t>Ukupno planirana sredstva</w:t>
            </w:r>
          </w:p>
        </w:tc>
        <w:tc>
          <w:tcPr>
            <w:tcW w:w="931" w:type="dxa"/>
          </w:tcPr>
          <w:p w14:paraId="681E8A7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3.943.350</w:t>
            </w:r>
          </w:p>
        </w:tc>
        <w:tc>
          <w:tcPr>
            <w:tcW w:w="1374" w:type="dxa"/>
          </w:tcPr>
          <w:p w14:paraId="76B3EEB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4.830.000</w:t>
            </w:r>
          </w:p>
        </w:tc>
        <w:tc>
          <w:tcPr>
            <w:tcW w:w="1359" w:type="dxa"/>
          </w:tcPr>
          <w:p w14:paraId="6FD9043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8.680.000</w:t>
            </w:r>
          </w:p>
        </w:tc>
        <w:tc>
          <w:tcPr>
            <w:tcW w:w="931" w:type="dxa"/>
          </w:tcPr>
          <w:p w14:paraId="7383C55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8.071.280</w:t>
            </w:r>
          </w:p>
        </w:tc>
        <w:tc>
          <w:tcPr>
            <w:tcW w:w="621" w:type="dxa"/>
          </w:tcPr>
          <w:p w14:paraId="213765B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c>
          <w:tcPr>
            <w:tcW w:w="1021" w:type="dxa"/>
          </w:tcPr>
          <w:p w14:paraId="6545EAB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25.524.630</w:t>
            </w:r>
          </w:p>
        </w:tc>
        <w:tc>
          <w:tcPr>
            <w:tcW w:w="874" w:type="dxa"/>
          </w:tcPr>
          <w:p w14:paraId="464AEC3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A63412">
              <w:rPr>
                <w:rFonts w:asciiTheme="majorHAnsi" w:hAnsiTheme="majorHAnsi" w:cstheme="majorHAnsi"/>
                <w:color w:val="000000"/>
                <w:sz w:val="18"/>
                <w:szCs w:val="18"/>
              </w:rPr>
              <w:t> </w:t>
            </w:r>
          </w:p>
        </w:tc>
      </w:tr>
      <w:tr w:rsidR="00E440CE" w:rsidRPr="00A63412" w14:paraId="72CC5903" w14:textId="77777777" w:rsidTr="00A63412">
        <w:trPr>
          <w:trHeight w:val="330"/>
        </w:trPr>
        <w:tc>
          <w:tcPr>
            <w:cnfStyle w:val="001000000000" w:firstRow="0" w:lastRow="0" w:firstColumn="1" w:lastColumn="0" w:oddVBand="0" w:evenVBand="0" w:oddHBand="0" w:evenHBand="0" w:firstRowFirstColumn="0" w:firstRowLastColumn="0" w:lastRowFirstColumn="0" w:lastRowLastColumn="0"/>
            <w:tcW w:w="2239" w:type="dxa"/>
            <w:shd w:val="clear" w:color="auto" w:fill="BCD9DE" w:themeFill="accent5" w:themeFillTint="66"/>
          </w:tcPr>
          <w:p w14:paraId="00447E24" w14:textId="77777777" w:rsidR="00E440CE" w:rsidRPr="00A63412" w:rsidRDefault="003422A9">
            <w:pPr>
              <w:rPr>
                <w:rFonts w:asciiTheme="majorHAnsi" w:hAnsiTheme="majorHAnsi" w:cstheme="majorHAnsi"/>
                <w:bCs/>
                <w:color w:val="000000"/>
                <w:sz w:val="18"/>
                <w:szCs w:val="18"/>
              </w:rPr>
            </w:pPr>
            <w:r w:rsidRPr="00A63412">
              <w:rPr>
                <w:rFonts w:asciiTheme="majorHAnsi" w:hAnsiTheme="majorHAnsi" w:cstheme="majorHAnsi"/>
                <w:bCs/>
                <w:color w:val="000000"/>
                <w:sz w:val="18"/>
                <w:szCs w:val="18"/>
              </w:rPr>
              <w:t>Ukupno raspodijeljena sredstva</w:t>
            </w:r>
          </w:p>
        </w:tc>
        <w:tc>
          <w:tcPr>
            <w:tcW w:w="931" w:type="dxa"/>
            <w:shd w:val="clear" w:color="auto" w:fill="BCD9DE" w:themeFill="accent5" w:themeFillTint="66"/>
          </w:tcPr>
          <w:p w14:paraId="5EA7E0A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99,0%</w:t>
            </w:r>
          </w:p>
        </w:tc>
        <w:tc>
          <w:tcPr>
            <w:tcW w:w="1374" w:type="dxa"/>
            <w:shd w:val="clear" w:color="auto" w:fill="BCD9DE" w:themeFill="accent5" w:themeFillTint="66"/>
          </w:tcPr>
          <w:p w14:paraId="69623BA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99,7%</w:t>
            </w:r>
          </w:p>
        </w:tc>
        <w:tc>
          <w:tcPr>
            <w:tcW w:w="1359" w:type="dxa"/>
            <w:shd w:val="clear" w:color="auto" w:fill="BCD9DE" w:themeFill="accent5" w:themeFillTint="66"/>
          </w:tcPr>
          <w:p w14:paraId="7896C3B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98,1%</w:t>
            </w:r>
          </w:p>
        </w:tc>
        <w:tc>
          <w:tcPr>
            <w:tcW w:w="931" w:type="dxa"/>
            <w:shd w:val="clear" w:color="auto" w:fill="BCD9DE" w:themeFill="accent5" w:themeFillTint="66"/>
          </w:tcPr>
          <w:p w14:paraId="4ADE313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96,7%</w:t>
            </w:r>
          </w:p>
        </w:tc>
        <w:tc>
          <w:tcPr>
            <w:tcW w:w="621" w:type="dxa"/>
            <w:shd w:val="clear" w:color="auto" w:fill="BCD9DE" w:themeFill="accent5" w:themeFillTint="66"/>
          </w:tcPr>
          <w:p w14:paraId="49131BF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 </w:t>
            </w:r>
          </w:p>
        </w:tc>
        <w:tc>
          <w:tcPr>
            <w:tcW w:w="1021" w:type="dxa"/>
            <w:shd w:val="clear" w:color="auto" w:fill="BCD9DE" w:themeFill="accent5" w:themeFillTint="66"/>
          </w:tcPr>
          <w:p w14:paraId="7D24BEC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98,1%</w:t>
            </w:r>
          </w:p>
        </w:tc>
        <w:tc>
          <w:tcPr>
            <w:tcW w:w="874" w:type="dxa"/>
            <w:shd w:val="clear" w:color="auto" w:fill="BCD9DE" w:themeFill="accent5" w:themeFillTint="66"/>
          </w:tcPr>
          <w:p w14:paraId="05B7AF4A"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 </w:t>
            </w:r>
          </w:p>
        </w:tc>
      </w:tr>
    </w:tbl>
    <w:p w14:paraId="50E6C873"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Navedena financijska sredstva usmjerena kroz razvojne projekte subjekata malog gospodarstva znatno su utjecala na stvaranje i poboljšanje ugodnog poduzetničkog okruženja, a što je kao rezultat imalo povećanje uposlenosti, izvoza, produktivnosti, skladnijeg razvoja privrede, kvalitete i konkurentske sposobnosti kao i razvoj djelatnosti koje ne zagađuju okoliš. </w:t>
      </w:r>
    </w:p>
    <w:p w14:paraId="40A4C2A3" w14:textId="44E4DBEA" w:rsidR="00E440CE" w:rsidRPr="00ED7B99" w:rsidRDefault="003422A9">
      <w:pPr>
        <w:jc w:val="both"/>
        <w:rPr>
          <w:rFonts w:asciiTheme="majorHAnsi" w:hAnsiTheme="majorHAnsi" w:cstheme="majorHAnsi"/>
        </w:rPr>
      </w:pPr>
      <w:bookmarkStart w:id="33" w:name="_heading=h.2p2csry" w:colFirst="0" w:colLast="0"/>
      <w:bookmarkEnd w:id="33"/>
      <w:r w:rsidRPr="00ED7B99">
        <w:rPr>
          <w:rFonts w:asciiTheme="majorHAnsi" w:hAnsiTheme="majorHAnsi" w:cstheme="majorHAnsi"/>
        </w:rPr>
        <w:t xml:space="preserve">Federalno ministarstvo, razvoja poduzetništva i obrta efekte utroška sredstava iz programa „Tekući transferi“ prati i izvještava preko tri glavna pokazatelja: broj projekata, broj uposlenih i vrijednost sredstava ( ukupna, sredstva FMRPO, sredstva poslovnih subjekata). U </w:t>
      </w:r>
      <w:r w:rsidRPr="005827F5">
        <w:rPr>
          <w:rFonts w:asciiTheme="majorHAnsi" w:hAnsiTheme="majorHAnsi" w:cstheme="majorHAnsi"/>
        </w:rPr>
        <w:t xml:space="preserve">tabelama </w:t>
      </w:r>
      <w:r w:rsidR="005827F5" w:rsidRPr="005827F5">
        <w:rPr>
          <w:rFonts w:asciiTheme="majorHAnsi" w:hAnsiTheme="majorHAnsi" w:cstheme="majorHAnsi"/>
        </w:rPr>
        <w:t xml:space="preserve">su </w:t>
      </w:r>
      <w:r w:rsidRPr="005827F5">
        <w:rPr>
          <w:rFonts w:asciiTheme="majorHAnsi" w:hAnsiTheme="majorHAnsi" w:cstheme="majorHAnsi"/>
        </w:rPr>
        <w:t xml:space="preserve">predstavljeni </w:t>
      </w:r>
      <w:r w:rsidRPr="00ED7B99">
        <w:rPr>
          <w:rFonts w:asciiTheme="majorHAnsi" w:hAnsiTheme="majorHAnsi" w:cstheme="majorHAnsi"/>
        </w:rPr>
        <w:t>pokazatelji po projektima za period 2016-2019. godina.</w:t>
      </w:r>
    </w:p>
    <w:p w14:paraId="0BCBBF69"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Financijska poticajna (grant) sredstva u periodu 2016-2019. godini za naprijed navedenih 15 projekata apliciralo je 6.394  potencijalnih korisnika , a sredstva su dodijeljena tek za njih 2.108, odnosno svaki treći aplikant postao je korisnik sredstava. Na temelju dostavljenih izvještaja i izvršenog nadzora o utrošku dodijeljenih financijskih sredstava utvrđeno je da je od 2.108 korisnika, izvještaj o utrošku dodijeljenih poticajnih sredstava dostavilo je 2.051 korisnik ili njih 97%.</w:t>
      </w:r>
    </w:p>
    <w:p w14:paraId="227ACA9B"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Sedam od 15 projekata zahtijevalo je od korisnika sredstava upošljavanje novih zaposlenika, tako da je planirani broj zaposlenika u promatranom periodu iznosio 1.437 zaposlenika a ostvareno je 1.527 novih upošljavanja, više za 90 uposlenika u odnosu na planirani. Uzme li se u obzir da je za ove projekte utrošeno 19,9 miliona KM sredstava FMRPO to znači da je poticajem u visini od 8.456 KM omogućen poticaj novom radnom mjestu. Kako je konkursom bilo zahtijevano korisnici sredstava su uložili vlastita sredstva a njihov iznos je bio 15 miliona KM, dakle više za 3,1 milion u odnosu na dodijeljena sredstva. Ukupno je za realizaciju ovih projekata utrošeno 27,9 miliona a otvoreno 1.527 novih radnih mjesta, što znači da je jedno radno mjesto financirano sa iznosom od 18.278 KM.</w:t>
      </w:r>
    </w:p>
    <w:p w14:paraId="5BBB5D45" w14:textId="0DE73AB9" w:rsidR="00E440CE" w:rsidRPr="00ED7B99" w:rsidRDefault="00E440CE">
      <w:pPr>
        <w:keepNext/>
        <w:pBdr>
          <w:top w:val="nil"/>
          <w:left w:val="nil"/>
          <w:bottom w:val="nil"/>
          <w:right w:val="nil"/>
          <w:between w:val="nil"/>
        </w:pBdr>
        <w:spacing w:after="0" w:line="240" w:lineRule="auto"/>
        <w:jc w:val="center"/>
        <w:rPr>
          <w:rFonts w:asciiTheme="majorHAnsi" w:hAnsiTheme="majorHAnsi" w:cstheme="majorHAnsi"/>
          <w:i/>
          <w:color w:val="1E5F9F"/>
          <w:sz w:val="18"/>
          <w:szCs w:val="18"/>
        </w:rPr>
      </w:pPr>
    </w:p>
    <w:p w14:paraId="0E382DDD" w14:textId="6B76505D" w:rsidR="00A63412" w:rsidRDefault="00A63412" w:rsidP="00A63412">
      <w:pPr>
        <w:pStyle w:val="Caption"/>
        <w:keepNext/>
      </w:pPr>
      <w:r>
        <w:t xml:space="preserve">Tabela </w:t>
      </w:r>
      <w:fldSimple w:instr=" SEQ Tabela \* ARABIC ">
        <w:r w:rsidR="00DB6BC6">
          <w:rPr>
            <w:noProof/>
          </w:rPr>
          <w:t>22</w:t>
        </w:r>
      </w:fldSimple>
      <w:r>
        <w:t xml:space="preserve">. </w:t>
      </w:r>
      <w:r w:rsidRPr="00CC0896">
        <w:t>Pregled broja zaposlenih u ovkiru podržanih projekaa Tekućih tarnsfera FMRPO za period 2016.-2019. godina</w:t>
      </w:r>
    </w:p>
    <w:tbl>
      <w:tblPr>
        <w:tblStyle w:val="afa"/>
        <w:tblW w:w="9350" w:type="dxa"/>
        <w:tblBorders>
          <w:top w:val="single" w:sz="4" w:space="0" w:color="B5C1DF"/>
          <w:left w:val="single" w:sz="4" w:space="0" w:color="B5C1DF"/>
          <w:bottom w:val="single" w:sz="4" w:space="0" w:color="B5C1DF"/>
          <w:right w:val="single" w:sz="4" w:space="0" w:color="B5C1DF"/>
          <w:insideH w:val="single" w:sz="4" w:space="0" w:color="B5C1DF"/>
          <w:insideV w:val="single" w:sz="4" w:space="0" w:color="B5C1DF"/>
        </w:tblBorders>
        <w:tblLayout w:type="fixed"/>
        <w:tblLook w:val="04A0" w:firstRow="1" w:lastRow="0" w:firstColumn="1" w:lastColumn="0" w:noHBand="0" w:noVBand="1"/>
      </w:tblPr>
      <w:tblGrid>
        <w:gridCol w:w="3487"/>
        <w:gridCol w:w="933"/>
        <w:gridCol w:w="1027"/>
        <w:gridCol w:w="1015"/>
        <w:gridCol w:w="986"/>
        <w:gridCol w:w="624"/>
        <w:gridCol w:w="662"/>
        <w:gridCol w:w="616"/>
      </w:tblGrid>
      <w:tr w:rsidR="00E440CE" w:rsidRPr="00ED7B99" w14:paraId="4011BF37" w14:textId="77777777" w:rsidTr="00A634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vMerge w:val="restart"/>
            <w:shd w:val="clear" w:color="auto" w:fill="BCD9DE" w:themeFill="accent5" w:themeFillTint="66"/>
          </w:tcPr>
          <w:p w14:paraId="3DF60C6A"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sz w:val="18"/>
                <w:szCs w:val="18"/>
              </w:rPr>
              <w:t>Projekti</w:t>
            </w:r>
          </w:p>
        </w:tc>
        <w:tc>
          <w:tcPr>
            <w:tcW w:w="3961" w:type="dxa"/>
            <w:gridSpan w:val="4"/>
            <w:shd w:val="clear" w:color="auto" w:fill="BCD9DE" w:themeFill="accent5" w:themeFillTint="66"/>
          </w:tcPr>
          <w:p w14:paraId="23470B03" w14:textId="77777777" w:rsidR="00E440CE" w:rsidRPr="00ED7B99"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Broj projekata</w:t>
            </w:r>
          </w:p>
        </w:tc>
        <w:tc>
          <w:tcPr>
            <w:tcW w:w="1902" w:type="dxa"/>
            <w:gridSpan w:val="3"/>
            <w:shd w:val="clear" w:color="auto" w:fill="BCD9DE" w:themeFill="accent5" w:themeFillTint="66"/>
          </w:tcPr>
          <w:p w14:paraId="777E3705" w14:textId="77777777" w:rsidR="00E440CE" w:rsidRPr="00ED7B99" w:rsidRDefault="003422A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Broj uposlenih</w:t>
            </w:r>
          </w:p>
        </w:tc>
      </w:tr>
      <w:tr w:rsidR="00E440CE" w:rsidRPr="00ED7B99" w14:paraId="3C8859CC" w14:textId="77777777" w:rsidTr="00A63412">
        <w:trPr>
          <w:trHeight w:val="510"/>
        </w:trPr>
        <w:tc>
          <w:tcPr>
            <w:cnfStyle w:val="001000000000" w:firstRow="0" w:lastRow="0" w:firstColumn="1" w:lastColumn="0" w:oddVBand="0" w:evenVBand="0" w:oddHBand="0" w:evenHBand="0" w:firstRowFirstColumn="0" w:firstRowLastColumn="0" w:lastRowFirstColumn="0" w:lastRowLastColumn="0"/>
            <w:tcW w:w="3487" w:type="dxa"/>
            <w:vMerge/>
            <w:shd w:val="clear" w:color="auto" w:fill="BCD9DE" w:themeFill="accent5" w:themeFillTint="66"/>
          </w:tcPr>
          <w:p w14:paraId="03E17953" w14:textId="77777777" w:rsidR="00E440CE" w:rsidRPr="00ED7B99" w:rsidRDefault="00E440CE">
            <w:pPr>
              <w:widowControl w:val="0"/>
              <w:pBdr>
                <w:top w:val="nil"/>
                <w:left w:val="nil"/>
                <w:bottom w:val="nil"/>
                <w:right w:val="nil"/>
                <w:between w:val="nil"/>
              </w:pBdr>
              <w:spacing w:line="276" w:lineRule="auto"/>
              <w:rPr>
                <w:rFonts w:asciiTheme="majorHAnsi" w:hAnsiTheme="majorHAnsi" w:cstheme="majorHAnsi"/>
                <w:sz w:val="18"/>
                <w:szCs w:val="18"/>
              </w:rPr>
            </w:pPr>
          </w:p>
        </w:tc>
        <w:tc>
          <w:tcPr>
            <w:tcW w:w="933" w:type="dxa"/>
            <w:shd w:val="clear" w:color="auto" w:fill="BCD9DE" w:themeFill="accent5" w:themeFillTint="66"/>
          </w:tcPr>
          <w:p w14:paraId="7BF81E8B"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Aplika-cija</w:t>
            </w:r>
          </w:p>
        </w:tc>
        <w:tc>
          <w:tcPr>
            <w:tcW w:w="1027" w:type="dxa"/>
            <w:shd w:val="clear" w:color="auto" w:fill="BCD9DE" w:themeFill="accent5" w:themeFillTint="66"/>
          </w:tcPr>
          <w:p w14:paraId="78B8BFF1" w14:textId="6337EF74"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Odobreno</w:t>
            </w:r>
          </w:p>
        </w:tc>
        <w:tc>
          <w:tcPr>
            <w:tcW w:w="1015" w:type="dxa"/>
            <w:shd w:val="clear" w:color="auto" w:fill="BCD9DE" w:themeFill="accent5" w:themeFillTint="66"/>
          </w:tcPr>
          <w:p w14:paraId="62A86DB8" w14:textId="78C2DD05"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Dostavljen izvješta</w:t>
            </w:r>
            <w:r w:rsidR="00A63412">
              <w:rPr>
                <w:rFonts w:asciiTheme="majorHAnsi" w:hAnsiTheme="majorHAnsi" w:cstheme="majorHAnsi"/>
                <w:sz w:val="18"/>
                <w:szCs w:val="18"/>
              </w:rPr>
              <w:t>j</w:t>
            </w:r>
          </w:p>
        </w:tc>
        <w:tc>
          <w:tcPr>
            <w:tcW w:w="986" w:type="dxa"/>
            <w:shd w:val="clear" w:color="auto" w:fill="BCD9DE" w:themeFill="accent5" w:themeFillTint="66"/>
          </w:tcPr>
          <w:p w14:paraId="72861EB5"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 odobrenih</w:t>
            </w:r>
          </w:p>
        </w:tc>
        <w:tc>
          <w:tcPr>
            <w:tcW w:w="624" w:type="dxa"/>
            <w:shd w:val="clear" w:color="auto" w:fill="BCD9DE" w:themeFill="accent5" w:themeFillTint="66"/>
          </w:tcPr>
          <w:p w14:paraId="1E54F10E"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Plani</w:t>
            </w:r>
          </w:p>
          <w:p w14:paraId="3BB05DC2"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rano</w:t>
            </w:r>
          </w:p>
        </w:tc>
        <w:tc>
          <w:tcPr>
            <w:tcW w:w="662" w:type="dxa"/>
            <w:shd w:val="clear" w:color="auto" w:fill="BCD9DE" w:themeFill="accent5" w:themeFillTint="66"/>
          </w:tcPr>
          <w:p w14:paraId="7809B3BD"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Reali</w:t>
            </w:r>
          </w:p>
          <w:p w14:paraId="274158D1"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zirano</w:t>
            </w:r>
          </w:p>
        </w:tc>
        <w:tc>
          <w:tcPr>
            <w:tcW w:w="616" w:type="dxa"/>
            <w:shd w:val="clear" w:color="auto" w:fill="BCD9DE" w:themeFill="accent5" w:themeFillTint="66"/>
          </w:tcPr>
          <w:p w14:paraId="10F906D8"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w:t>
            </w:r>
          </w:p>
        </w:tc>
      </w:tr>
      <w:tr w:rsidR="00E440CE" w:rsidRPr="00ED7B99" w14:paraId="7B0E16C6"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55E9ABF8"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Izgradnja poduzetničkih zona</w:t>
            </w:r>
          </w:p>
        </w:tc>
        <w:tc>
          <w:tcPr>
            <w:tcW w:w="933" w:type="dxa"/>
          </w:tcPr>
          <w:p w14:paraId="0077202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143</w:t>
            </w:r>
          </w:p>
        </w:tc>
        <w:tc>
          <w:tcPr>
            <w:tcW w:w="1027" w:type="dxa"/>
          </w:tcPr>
          <w:p w14:paraId="7519A14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57</w:t>
            </w:r>
          </w:p>
        </w:tc>
        <w:tc>
          <w:tcPr>
            <w:tcW w:w="1015" w:type="dxa"/>
          </w:tcPr>
          <w:p w14:paraId="734D1F9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55</w:t>
            </w:r>
          </w:p>
        </w:tc>
        <w:tc>
          <w:tcPr>
            <w:tcW w:w="986" w:type="dxa"/>
          </w:tcPr>
          <w:p w14:paraId="70C1164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40%</w:t>
            </w:r>
          </w:p>
        </w:tc>
        <w:tc>
          <w:tcPr>
            <w:tcW w:w="624" w:type="dxa"/>
          </w:tcPr>
          <w:p w14:paraId="3A81885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62" w:type="dxa"/>
          </w:tcPr>
          <w:p w14:paraId="1657B7D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16" w:type="dxa"/>
          </w:tcPr>
          <w:p w14:paraId="3E3464D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r>
      <w:tr w:rsidR="00E440CE" w:rsidRPr="00ED7B99" w14:paraId="201BFF07"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668C9560"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Poticaji inovatorima-pojedincima</w:t>
            </w:r>
          </w:p>
        </w:tc>
        <w:tc>
          <w:tcPr>
            <w:tcW w:w="933" w:type="dxa"/>
          </w:tcPr>
          <w:p w14:paraId="3A4B6FF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56</w:t>
            </w:r>
          </w:p>
        </w:tc>
        <w:tc>
          <w:tcPr>
            <w:tcW w:w="1027" w:type="dxa"/>
          </w:tcPr>
          <w:p w14:paraId="7B14679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32</w:t>
            </w:r>
          </w:p>
        </w:tc>
        <w:tc>
          <w:tcPr>
            <w:tcW w:w="1015" w:type="dxa"/>
          </w:tcPr>
          <w:p w14:paraId="58D729E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31</w:t>
            </w:r>
          </w:p>
        </w:tc>
        <w:tc>
          <w:tcPr>
            <w:tcW w:w="986" w:type="dxa"/>
          </w:tcPr>
          <w:p w14:paraId="516E79B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57%</w:t>
            </w:r>
          </w:p>
        </w:tc>
        <w:tc>
          <w:tcPr>
            <w:tcW w:w="624" w:type="dxa"/>
          </w:tcPr>
          <w:p w14:paraId="1640980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62" w:type="dxa"/>
          </w:tcPr>
          <w:p w14:paraId="47144A7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16" w:type="dxa"/>
          </w:tcPr>
          <w:p w14:paraId="707A550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r>
      <w:tr w:rsidR="00E440CE" w:rsidRPr="00ED7B99" w14:paraId="401EA93D"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6D13662A"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Stipendiranje učenika koji se obrazuju za tradicionalne stare obrte</w:t>
            </w:r>
          </w:p>
        </w:tc>
        <w:tc>
          <w:tcPr>
            <w:tcW w:w="933" w:type="dxa"/>
          </w:tcPr>
          <w:p w14:paraId="1C43430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313</w:t>
            </w:r>
          </w:p>
        </w:tc>
        <w:tc>
          <w:tcPr>
            <w:tcW w:w="1027" w:type="dxa"/>
          </w:tcPr>
          <w:p w14:paraId="5B705C3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177</w:t>
            </w:r>
          </w:p>
        </w:tc>
        <w:tc>
          <w:tcPr>
            <w:tcW w:w="1015" w:type="dxa"/>
          </w:tcPr>
          <w:p w14:paraId="008E3B3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176</w:t>
            </w:r>
          </w:p>
        </w:tc>
        <w:tc>
          <w:tcPr>
            <w:tcW w:w="986" w:type="dxa"/>
          </w:tcPr>
          <w:p w14:paraId="6B827E4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57%</w:t>
            </w:r>
          </w:p>
        </w:tc>
        <w:tc>
          <w:tcPr>
            <w:tcW w:w="624" w:type="dxa"/>
          </w:tcPr>
          <w:p w14:paraId="083346B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62" w:type="dxa"/>
          </w:tcPr>
          <w:p w14:paraId="322C55C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16" w:type="dxa"/>
          </w:tcPr>
          <w:p w14:paraId="69E2E2A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r>
      <w:tr w:rsidR="00E440CE" w:rsidRPr="00ED7B99" w14:paraId="5E710EBE"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734F714F"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Unapređenje institucijske poduzetničke infrastrukture</w:t>
            </w:r>
          </w:p>
        </w:tc>
        <w:tc>
          <w:tcPr>
            <w:tcW w:w="933" w:type="dxa"/>
          </w:tcPr>
          <w:p w14:paraId="49BACFF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63</w:t>
            </w:r>
          </w:p>
        </w:tc>
        <w:tc>
          <w:tcPr>
            <w:tcW w:w="1027" w:type="dxa"/>
          </w:tcPr>
          <w:p w14:paraId="1EC9491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32</w:t>
            </w:r>
          </w:p>
        </w:tc>
        <w:tc>
          <w:tcPr>
            <w:tcW w:w="1015" w:type="dxa"/>
          </w:tcPr>
          <w:p w14:paraId="2B04E13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32</w:t>
            </w:r>
          </w:p>
        </w:tc>
        <w:tc>
          <w:tcPr>
            <w:tcW w:w="986" w:type="dxa"/>
          </w:tcPr>
          <w:p w14:paraId="75403B1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51%</w:t>
            </w:r>
          </w:p>
        </w:tc>
        <w:tc>
          <w:tcPr>
            <w:tcW w:w="624" w:type="dxa"/>
          </w:tcPr>
          <w:p w14:paraId="3C26D75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62" w:type="dxa"/>
          </w:tcPr>
          <w:p w14:paraId="391FE84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16" w:type="dxa"/>
          </w:tcPr>
          <w:p w14:paraId="181E535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r>
      <w:tr w:rsidR="00E440CE" w:rsidRPr="00ED7B99" w14:paraId="2217117D"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324F87CF"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Poticaj projektima koje financira EU i drugi inozemni donatori</w:t>
            </w:r>
          </w:p>
        </w:tc>
        <w:tc>
          <w:tcPr>
            <w:tcW w:w="933" w:type="dxa"/>
          </w:tcPr>
          <w:p w14:paraId="3019E28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9</w:t>
            </w:r>
          </w:p>
        </w:tc>
        <w:tc>
          <w:tcPr>
            <w:tcW w:w="1027" w:type="dxa"/>
          </w:tcPr>
          <w:p w14:paraId="6C14E03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w:t>
            </w:r>
          </w:p>
        </w:tc>
        <w:tc>
          <w:tcPr>
            <w:tcW w:w="1015" w:type="dxa"/>
          </w:tcPr>
          <w:p w14:paraId="77EB53A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w:t>
            </w:r>
          </w:p>
        </w:tc>
        <w:tc>
          <w:tcPr>
            <w:tcW w:w="986" w:type="dxa"/>
          </w:tcPr>
          <w:p w14:paraId="19F5499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56%</w:t>
            </w:r>
          </w:p>
        </w:tc>
        <w:tc>
          <w:tcPr>
            <w:tcW w:w="624" w:type="dxa"/>
          </w:tcPr>
          <w:p w14:paraId="721525E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62" w:type="dxa"/>
          </w:tcPr>
          <w:p w14:paraId="305C1F6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16" w:type="dxa"/>
          </w:tcPr>
          <w:p w14:paraId="592CADD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r>
      <w:tr w:rsidR="00E440CE" w:rsidRPr="00ED7B99" w14:paraId="26548DAE"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6A06BB34"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Poticaj udruženjima, komorama i obrazovnim institucijama</w:t>
            </w:r>
          </w:p>
        </w:tc>
        <w:tc>
          <w:tcPr>
            <w:tcW w:w="933" w:type="dxa"/>
          </w:tcPr>
          <w:p w14:paraId="1F48AF1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262</w:t>
            </w:r>
          </w:p>
        </w:tc>
        <w:tc>
          <w:tcPr>
            <w:tcW w:w="1027" w:type="dxa"/>
          </w:tcPr>
          <w:p w14:paraId="42716F6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89</w:t>
            </w:r>
          </w:p>
        </w:tc>
        <w:tc>
          <w:tcPr>
            <w:tcW w:w="1015" w:type="dxa"/>
          </w:tcPr>
          <w:p w14:paraId="14CB93C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88</w:t>
            </w:r>
          </w:p>
        </w:tc>
        <w:tc>
          <w:tcPr>
            <w:tcW w:w="986" w:type="dxa"/>
          </w:tcPr>
          <w:p w14:paraId="60F1904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34%</w:t>
            </w:r>
          </w:p>
        </w:tc>
        <w:tc>
          <w:tcPr>
            <w:tcW w:w="624" w:type="dxa"/>
          </w:tcPr>
          <w:p w14:paraId="2E38390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62" w:type="dxa"/>
          </w:tcPr>
          <w:p w14:paraId="3DF171F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16" w:type="dxa"/>
          </w:tcPr>
          <w:p w14:paraId="72AE5DE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r>
      <w:tr w:rsidR="00E440CE" w:rsidRPr="00ED7B99" w14:paraId="2AC453F4"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14CC1951"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lastRenderedPageBreak/>
              <w:t>Tehničko usklađivanje (uvođenje ISO, HACCAP standarda i osiguranje CE znaka)</w:t>
            </w:r>
          </w:p>
        </w:tc>
        <w:tc>
          <w:tcPr>
            <w:tcW w:w="933" w:type="dxa"/>
          </w:tcPr>
          <w:p w14:paraId="74F3E86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138</w:t>
            </w:r>
          </w:p>
        </w:tc>
        <w:tc>
          <w:tcPr>
            <w:tcW w:w="1027" w:type="dxa"/>
          </w:tcPr>
          <w:p w14:paraId="4C26B4A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52</w:t>
            </w:r>
          </w:p>
        </w:tc>
        <w:tc>
          <w:tcPr>
            <w:tcW w:w="1015" w:type="dxa"/>
          </w:tcPr>
          <w:p w14:paraId="03EDDF7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51</w:t>
            </w:r>
          </w:p>
        </w:tc>
        <w:tc>
          <w:tcPr>
            <w:tcW w:w="986" w:type="dxa"/>
          </w:tcPr>
          <w:p w14:paraId="57A2757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38%</w:t>
            </w:r>
          </w:p>
        </w:tc>
        <w:tc>
          <w:tcPr>
            <w:tcW w:w="624" w:type="dxa"/>
          </w:tcPr>
          <w:p w14:paraId="0E80B6D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36</w:t>
            </w:r>
          </w:p>
        </w:tc>
        <w:tc>
          <w:tcPr>
            <w:tcW w:w="662" w:type="dxa"/>
          </w:tcPr>
          <w:p w14:paraId="7AF3057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37</w:t>
            </w:r>
          </w:p>
        </w:tc>
        <w:tc>
          <w:tcPr>
            <w:tcW w:w="616" w:type="dxa"/>
          </w:tcPr>
          <w:p w14:paraId="582551E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103%</w:t>
            </w:r>
          </w:p>
        </w:tc>
      </w:tr>
      <w:tr w:rsidR="00E440CE" w:rsidRPr="00ED7B99" w14:paraId="5F867039"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48D5783B"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Poticaji tradicionalnim i starim obrtima</w:t>
            </w:r>
          </w:p>
        </w:tc>
        <w:tc>
          <w:tcPr>
            <w:tcW w:w="933" w:type="dxa"/>
          </w:tcPr>
          <w:p w14:paraId="407238F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1.112</w:t>
            </w:r>
          </w:p>
        </w:tc>
        <w:tc>
          <w:tcPr>
            <w:tcW w:w="1027" w:type="dxa"/>
          </w:tcPr>
          <w:p w14:paraId="78FF304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231</w:t>
            </w:r>
          </w:p>
        </w:tc>
        <w:tc>
          <w:tcPr>
            <w:tcW w:w="1015" w:type="dxa"/>
          </w:tcPr>
          <w:p w14:paraId="70EC96A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229</w:t>
            </w:r>
          </w:p>
        </w:tc>
        <w:tc>
          <w:tcPr>
            <w:tcW w:w="986" w:type="dxa"/>
          </w:tcPr>
          <w:p w14:paraId="3F5D0DD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21%</w:t>
            </w:r>
          </w:p>
        </w:tc>
        <w:tc>
          <w:tcPr>
            <w:tcW w:w="624" w:type="dxa"/>
          </w:tcPr>
          <w:p w14:paraId="6FE8C45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41</w:t>
            </w:r>
          </w:p>
        </w:tc>
        <w:tc>
          <w:tcPr>
            <w:tcW w:w="662" w:type="dxa"/>
          </w:tcPr>
          <w:p w14:paraId="4FC182F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33</w:t>
            </w:r>
          </w:p>
        </w:tc>
        <w:tc>
          <w:tcPr>
            <w:tcW w:w="616" w:type="dxa"/>
          </w:tcPr>
          <w:p w14:paraId="4DCA28A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80%</w:t>
            </w:r>
          </w:p>
        </w:tc>
      </w:tr>
      <w:tr w:rsidR="00E440CE" w:rsidRPr="00ED7B99" w14:paraId="27B8141A"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438C2794"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Poticaji razvoju vezanih i posebnih obrta</w:t>
            </w:r>
          </w:p>
        </w:tc>
        <w:tc>
          <w:tcPr>
            <w:tcW w:w="933" w:type="dxa"/>
          </w:tcPr>
          <w:p w14:paraId="72D72FA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747</w:t>
            </w:r>
          </w:p>
        </w:tc>
        <w:tc>
          <w:tcPr>
            <w:tcW w:w="1027" w:type="dxa"/>
          </w:tcPr>
          <w:p w14:paraId="444D1B0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214</w:t>
            </w:r>
          </w:p>
        </w:tc>
        <w:tc>
          <w:tcPr>
            <w:tcW w:w="1015" w:type="dxa"/>
          </w:tcPr>
          <w:p w14:paraId="5D1295E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211</w:t>
            </w:r>
          </w:p>
        </w:tc>
        <w:tc>
          <w:tcPr>
            <w:tcW w:w="986" w:type="dxa"/>
          </w:tcPr>
          <w:p w14:paraId="2D0DF89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29%</w:t>
            </w:r>
          </w:p>
        </w:tc>
        <w:tc>
          <w:tcPr>
            <w:tcW w:w="624" w:type="dxa"/>
          </w:tcPr>
          <w:p w14:paraId="0C0696B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186</w:t>
            </w:r>
          </w:p>
        </w:tc>
        <w:tc>
          <w:tcPr>
            <w:tcW w:w="662" w:type="dxa"/>
          </w:tcPr>
          <w:p w14:paraId="73D1C15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216</w:t>
            </w:r>
          </w:p>
        </w:tc>
        <w:tc>
          <w:tcPr>
            <w:tcW w:w="616" w:type="dxa"/>
          </w:tcPr>
          <w:p w14:paraId="50F37AB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116%</w:t>
            </w:r>
          </w:p>
        </w:tc>
      </w:tr>
      <w:tr w:rsidR="00E440CE" w:rsidRPr="00ED7B99" w14:paraId="069DE62C"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5BE7FDD0"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Poticaji novoosnovanim subjektima malog gospodarstva</w:t>
            </w:r>
          </w:p>
        </w:tc>
        <w:tc>
          <w:tcPr>
            <w:tcW w:w="933" w:type="dxa"/>
          </w:tcPr>
          <w:p w14:paraId="6E0102A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1.499</w:t>
            </w:r>
          </w:p>
        </w:tc>
        <w:tc>
          <w:tcPr>
            <w:tcW w:w="1027" w:type="dxa"/>
          </w:tcPr>
          <w:p w14:paraId="37CED42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658</w:t>
            </w:r>
          </w:p>
        </w:tc>
        <w:tc>
          <w:tcPr>
            <w:tcW w:w="1015" w:type="dxa"/>
          </w:tcPr>
          <w:p w14:paraId="14AE753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616</w:t>
            </w:r>
          </w:p>
        </w:tc>
        <w:tc>
          <w:tcPr>
            <w:tcW w:w="986" w:type="dxa"/>
          </w:tcPr>
          <w:p w14:paraId="03D3F25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44%</w:t>
            </w:r>
          </w:p>
        </w:tc>
        <w:tc>
          <w:tcPr>
            <w:tcW w:w="624" w:type="dxa"/>
          </w:tcPr>
          <w:p w14:paraId="7505876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487</w:t>
            </w:r>
          </w:p>
        </w:tc>
        <w:tc>
          <w:tcPr>
            <w:tcW w:w="662" w:type="dxa"/>
          </w:tcPr>
          <w:p w14:paraId="7028DF1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418</w:t>
            </w:r>
          </w:p>
        </w:tc>
        <w:tc>
          <w:tcPr>
            <w:tcW w:w="616" w:type="dxa"/>
          </w:tcPr>
          <w:p w14:paraId="6B03AA0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86%</w:t>
            </w:r>
          </w:p>
        </w:tc>
      </w:tr>
      <w:tr w:rsidR="00E440CE" w:rsidRPr="00ED7B99" w14:paraId="7256D25E"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7293D88F"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Poticaj poduzetništvu žena</w:t>
            </w:r>
          </w:p>
        </w:tc>
        <w:tc>
          <w:tcPr>
            <w:tcW w:w="933" w:type="dxa"/>
          </w:tcPr>
          <w:p w14:paraId="2CE7D71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187</w:t>
            </w:r>
          </w:p>
        </w:tc>
        <w:tc>
          <w:tcPr>
            <w:tcW w:w="1027" w:type="dxa"/>
          </w:tcPr>
          <w:p w14:paraId="553371F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50</w:t>
            </w:r>
          </w:p>
        </w:tc>
        <w:tc>
          <w:tcPr>
            <w:tcW w:w="1015" w:type="dxa"/>
          </w:tcPr>
          <w:p w14:paraId="31A8A83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49</w:t>
            </w:r>
          </w:p>
        </w:tc>
        <w:tc>
          <w:tcPr>
            <w:tcW w:w="986" w:type="dxa"/>
          </w:tcPr>
          <w:p w14:paraId="2E4A0D6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27%</w:t>
            </w:r>
          </w:p>
        </w:tc>
        <w:tc>
          <w:tcPr>
            <w:tcW w:w="624" w:type="dxa"/>
          </w:tcPr>
          <w:p w14:paraId="69F06CC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29</w:t>
            </w:r>
          </w:p>
        </w:tc>
        <w:tc>
          <w:tcPr>
            <w:tcW w:w="662" w:type="dxa"/>
          </w:tcPr>
          <w:p w14:paraId="4789D1A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37</w:t>
            </w:r>
          </w:p>
        </w:tc>
        <w:tc>
          <w:tcPr>
            <w:tcW w:w="616" w:type="dxa"/>
          </w:tcPr>
          <w:p w14:paraId="0D3CD8D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128%</w:t>
            </w:r>
          </w:p>
        </w:tc>
      </w:tr>
      <w:tr w:rsidR="00E440CE" w:rsidRPr="00ED7B99" w14:paraId="1AC05275"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07D15770"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Poticaj poduzetništvu mladih</w:t>
            </w:r>
          </w:p>
        </w:tc>
        <w:tc>
          <w:tcPr>
            <w:tcW w:w="933" w:type="dxa"/>
          </w:tcPr>
          <w:p w14:paraId="05141DC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130</w:t>
            </w:r>
          </w:p>
        </w:tc>
        <w:tc>
          <w:tcPr>
            <w:tcW w:w="1027" w:type="dxa"/>
          </w:tcPr>
          <w:p w14:paraId="6FC66C8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45</w:t>
            </w:r>
          </w:p>
        </w:tc>
        <w:tc>
          <w:tcPr>
            <w:tcW w:w="1015" w:type="dxa"/>
          </w:tcPr>
          <w:p w14:paraId="2A3F253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43</w:t>
            </w:r>
          </w:p>
        </w:tc>
        <w:tc>
          <w:tcPr>
            <w:tcW w:w="986" w:type="dxa"/>
          </w:tcPr>
          <w:p w14:paraId="5384115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35%</w:t>
            </w:r>
          </w:p>
        </w:tc>
        <w:tc>
          <w:tcPr>
            <w:tcW w:w="624" w:type="dxa"/>
          </w:tcPr>
          <w:p w14:paraId="0C9A065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36</w:t>
            </w:r>
          </w:p>
        </w:tc>
        <w:tc>
          <w:tcPr>
            <w:tcW w:w="662" w:type="dxa"/>
          </w:tcPr>
          <w:p w14:paraId="0BF1A88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27</w:t>
            </w:r>
          </w:p>
        </w:tc>
        <w:tc>
          <w:tcPr>
            <w:tcW w:w="616" w:type="dxa"/>
          </w:tcPr>
          <w:p w14:paraId="50DBC92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75%</w:t>
            </w:r>
          </w:p>
        </w:tc>
      </w:tr>
      <w:tr w:rsidR="00E440CE" w:rsidRPr="00ED7B99" w14:paraId="413CFAA7"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5F2806F4"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 xml:space="preserve">Jačanje konkurentnosti MSP-a  </w:t>
            </w:r>
          </w:p>
        </w:tc>
        <w:tc>
          <w:tcPr>
            <w:tcW w:w="933" w:type="dxa"/>
          </w:tcPr>
          <w:p w14:paraId="1D9F9E2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768</w:t>
            </w:r>
          </w:p>
        </w:tc>
        <w:tc>
          <w:tcPr>
            <w:tcW w:w="1027" w:type="dxa"/>
          </w:tcPr>
          <w:p w14:paraId="0F83EE8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225</w:t>
            </w:r>
          </w:p>
        </w:tc>
        <w:tc>
          <w:tcPr>
            <w:tcW w:w="1015" w:type="dxa"/>
          </w:tcPr>
          <w:p w14:paraId="5362842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224</w:t>
            </w:r>
          </w:p>
        </w:tc>
        <w:tc>
          <w:tcPr>
            <w:tcW w:w="986" w:type="dxa"/>
          </w:tcPr>
          <w:p w14:paraId="05741D6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29%</w:t>
            </w:r>
          </w:p>
        </w:tc>
        <w:tc>
          <w:tcPr>
            <w:tcW w:w="624" w:type="dxa"/>
          </w:tcPr>
          <w:p w14:paraId="5299382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622</w:t>
            </w:r>
          </w:p>
        </w:tc>
        <w:tc>
          <w:tcPr>
            <w:tcW w:w="662" w:type="dxa"/>
          </w:tcPr>
          <w:p w14:paraId="5B0C4FC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759</w:t>
            </w:r>
          </w:p>
        </w:tc>
        <w:tc>
          <w:tcPr>
            <w:tcW w:w="616" w:type="dxa"/>
          </w:tcPr>
          <w:p w14:paraId="025CE80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122%</w:t>
            </w:r>
          </w:p>
        </w:tc>
      </w:tr>
      <w:tr w:rsidR="00E440CE" w:rsidRPr="00ED7B99" w14:paraId="51E6C5D0"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5B68AA6A"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Pružanje mentoring usluga za subjekte malog gospodarstva</w:t>
            </w:r>
          </w:p>
        </w:tc>
        <w:tc>
          <w:tcPr>
            <w:tcW w:w="933" w:type="dxa"/>
          </w:tcPr>
          <w:p w14:paraId="595E9BD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28</w:t>
            </w:r>
          </w:p>
        </w:tc>
        <w:tc>
          <w:tcPr>
            <w:tcW w:w="1027" w:type="dxa"/>
          </w:tcPr>
          <w:p w14:paraId="1D8E7B0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14</w:t>
            </w:r>
          </w:p>
        </w:tc>
        <w:tc>
          <w:tcPr>
            <w:tcW w:w="1015" w:type="dxa"/>
          </w:tcPr>
          <w:p w14:paraId="7E136EA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14</w:t>
            </w:r>
          </w:p>
        </w:tc>
        <w:tc>
          <w:tcPr>
            <w:tcW w:w="986" w:type="dxa"/>
          </w:tcPr>
          <w:p w14:paraId="4A89AB3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50%</w:t>
            </w:r>
          </w:p>
        </w:tc>
        <w:tc>
          <w:tcPr>
            <w:tcW w:w="624" w:type="dxa"/>
          </w:tcPr>
          <w:p w14:paraId="1E7ABBE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62" w:type="dxa"/>
          </w:tcPr>
          <w:p w14:paraId="6587024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16" w:type="dxa"/>
          </w:tcPr>
          <w:p w14:paraId="076F3F9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r>
      <w:tr w:rsidR="00E440CE" w:rsidRPr="00ED7B99" w14:paraId="0C82BCF0"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3487" w:type="dxa"/>
          </w:tcPr>
          <w:p w14:paraId="1D3FAD7B"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b w:val="0"/>
                <w:sz w:val="18"/>
                <w:szCs w:val="18"/>
              </w:rPr>
              <w:t>Stipendiranje učenika koji se obrazuju za deficitarna zanimanja</w:t>
            </w:r>
          </w:p>
        </w:tc>
        <w:tc>
          <w:tcPr>
            <w:tcW w:w="933" w:type="dxa"/>
          </w:tcPr>
          <w:p w14:paraId="2EEF174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939</w:t>
            </w:r>
          </w:p>
        </w:tc>
        <w:tc>
          <w:tcPr>
            <w:tcW w:w="1027" w:type="dxa"/>
          </w:tcPr>
          <w:p w14:paraId="255C151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227</w:t>
            </w:r>
          </w:p>
        </w:tc>
        <w:tc>
          <w:tcPr>
            <w:tcW w:w="1015" w:type="dxa"/>
          </w:tcPr>
          <w:p w14:paraId="58A1221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227</w:t>
            </w:r>
          </w:p>
        </w:tc>
        <w:tc>
          <w:tcPr>
            <w:tcW w:w="986" w:type="dxa"/>
          </w:tcPr>
          <w:p w14:paraId="38A4A77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24%</w:t>
            </w:r>
          </w:p>
        </w:tc>
        <w:tc>
          <w:tcPr>
            <w:tcW w:w="624" w:type="dxa"/>
          </w:tcPr>
          <w:p w14:paraId="1FB8558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62" w:type="dxa"/>
          </w:tcPr>
          <w:p w14:paraId="7DB697E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c>
          <w:tcPr>
            <w:tcW w:w="616" w:type="dxa"/>
          </w:tcPr>
          <w:p w14:paraId="60ED592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ED7B99">
              <w:rPr>
                <w:rFonts w:asciiTheme="majorHAnsi" w:hAnsiTheme="majorHAnsi" w:cstheme="majorHAnsi"/>
                <w:sz w:val="18"/>
                <w:szCs w:val="18"/>
              </w:rPr>
              <w:t>0%</w:t>
            </w:r>
          </w:p>
        </w:tc>
      </w:tr>
      <w:tr w:rsidR="00E440CE" w:rsidRPr="00ED7B99" w14:paraId="170242F4"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487" w:type="dxa"/>
            <w:shd w:val="clear" w:color="auto" w:fill="BCD9DE" w:themeFill="accent5" w:themeFillTint="66"/>
          </w:tcPr>
          <w:p w14:paraId="0E96EF66" w14:textId="77777777" w:rsidR="00E440CE" w:rsidRPr="00ED7B99" w:rsidRDefault="003422A9">
            <w:pPr>
              <w:rPr>
                <w:rFonts w:asciiTheme="majorHAnsi" w:hAnsiTheme="majorHAnsi" w:cstheme="majorHAnsi"/>
                <w:sz w:val="18"/>
                <w:szCs w:val="18"/>
              </w:rPr>
            </w:pPr>
            <w:r w:rsidRPr="00ED7B99">
              <w:rPr>
                <w:rFonts w:asciiTheme="majorHAnsi" w:hAnsiTheme="majorHAnsi" w:cstheme="majorHAnsi"/>
                <w:sz w:val="18"/>
                <w:szCs w:val="18"/>
              </w:rPr>
              <w:t xml:space="preserve">Ukupno </w:t>
            </w:r>
          </w:p>
        </w:tc>
        <w:tc>
          <w:tcPr>
            <w:tcW w:w="933" w:type="dxa"/>
            <w:shd w:val="clear" w:color="auto" w:fill="BCD9DE" w:themeFill="accent5" w:themeFillTint="66"/>
          </w:tcPr>
          <w:p w14:paraId="4F6AD5F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ED7B99">
              <w:rPr>
                <w:rFonts w:asciiTheme="majorHAnsi" w:hAnsiTheme="majorHAnsi" w:cstheme="majorHAnsi"/>
                <w:b/>
                <w:sz w:val="18"/>
                <w:szCs w:val="18"/>
              </w:rPr>
              <w:t>6.394</w:t>
            </w:r>
          </w:p>
        </w:tc>
        <w:tc>
          <w:tcPr>
            <w:tcW w:w="1027" w:type="dxa"/>
            <w:shd w:val="clear" w:color="auto" w:fill="BCD9DE" w:themeFill="accent5" w:themeFillTint="66"/>
          </w:tcPr>
          <w:p w14:paraId="509F9AF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ED7B99">
              <w:rPr>
                <w:rFonts w:asciiTheme="majorHAnsi" w:hAnsiTheme="majorHAnsi" w:cstheme="majorHAnsi"/>
                <w:b/>
                <w:sz w:val="18"/>
                <w:szCs w:val="18"/>
              </w:rPr>
              <w:t>2108</w:t>
            </w:r>
          </w:p>
        </w:tc>
        <w:tc>
          <w:tcPr>
            <w:tcW w:w="1015" w:type="dxa"/>
            <w:shd w:val="clear" w:color="auto" w:fill="BCD9DE" w:themeFill="accent5" w:themeFillTint="66"/>
          </w:tcPr>
          <w:p w14:paraId="1608794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ED7B99">
              <w:rPr>
                <w:rFonts w:asciiTheme="majorHAnsi" w:hAnsiTheme="majorHAnsi" w:cstheme="majorHAnsi"/>
                <w:b/>
                <w:sz w:val="18"/>
                <w:szCs w:val="18"/>
              </w:rPr>
              <w:t>2051</w:t>
            </w:r>
          </w:p>
        </w:tc>
        <w:tc>
          <w:tcPr>
            <w:tcW w:w="986" w:type="dxa"/>
            <w:shd w:val="clear" w:color="auto" w:fill="BCD9DE" w:themeFill="accent5" w:themeFillTint="66"/>
          </w:tcPr>
          <w:p w14:paraId="5E207AB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ED7B99">
              <w:rPr>
                <w:rFonts w:asciiTheme="majorHAnsi" w:hAnsiTheme="majorHAnsi" w:cstheme="majorHAnsi"/>
                <w:b/>
                <w:sz w:val="18"/>
                <w:szCs w:val="18"/>
              </w:rPr>
              <w:t>33%</w:t>
            </w:r>
          </w:p>
        </w:tc>
        <w:tc>
          <w:tcPr>
            <w:tcW w:w="624" w:type="dxa"/>
            <w:shd w:val="clear" w:color="auto" w:fill="BCD9DE" w:themeFill="accent5" w:themeFillTint="66"/>
          </w:tcPr>
          <w:p w14:paraId="1F0FCE7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ED7B99">
              <w:rPr>
                <w:rFonts w:asciiTheme="majorHAnsi" w:hAnsiTheme="majorHAnsi" w:cstheme="majorHAnsi"/>
                <w:b/>
                <w:sz w:val="18"/>
                <w:szCs w:val="18"/>
              </w:rPr>
              <w:t>1.437</w:t>
            </w:r>
          </w:p>
        </w:tc>
        <w:tc>
          <w:tcPr>
            <w:tcW w:w="662" w:type="dxa"/>
            <w:shd w:val="clear" w:color="auto" w:fill="BCD9DE" w:themeFill="accent5" w:themeFillTint="66"/>
          </w:tcPr>
          <w:p w14:paraId="3C706FD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ED7B99">
              <w:rPr>
                <w:rFonts w:asciiTheme="majorHAnsi" w:hAnsiTheme="majorHAnsi" w:cstheme="majorHAnsi"/>
                <w:b/>
                <w:sz w:val="18"/>
                <w:szCs w:val="18"/>
              </w:rPr>
              <w:t>1.527</w:t>
            </w:r>
          </w:p>
        </w:tc>
        <w:tc>
          <w:tcPr>
            <w:tcW w:w="616" w:type="dxa"/>
            <w:shd w:val="clear" w:color="auto" w:fill="BCD9DE" w:themeFill="accent5" w:themeFillTint="66"/>
          </w:tcPr>
          <w:p w14:paraId="408059C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ED7B99">
              <w:rPr>
                <w:rFonts w:asciiTheme="majorHAnsi" w:hAnsiTheme="majorHAnsi" w:cstheme="majorHAnsi"/>
                <w:b/>
                <w:sz w:val="18"/>
                <w:szCs w:val="18"/>
              </w:rPr>
              <w:t>106%</w:t>
            </w:r>
          </w:p>
        </w:tc>
      </w:tr>
    </w:tbl>
    <w:p w14:paraId="4CCF3B91" w14:textId="77777777" w:rsidR="00E440CE" w:rsidRPr="00ED7B99" w:rsidRDefault="00E440CE">
      <w:pPr>
        <w:rPr>
          <w:rFonts w:asciiTheme="majorHAnsi" w:hAnsiTheme="majorHAnsi" w:cstheme="majorHAnsi"/>
        </w:rPr>
      </w:pPr>
    </w:p>
    <w:p w14:paraId="452D1AF8" w14:textId="77777777" w:rsidR="00E440CE" w:rsidRPr="00ED7B99" w:rsidRDefault="003422A9">
      <w:pPr>
        <w:jc w:val="both"/>
        <w:rPr>
          <w:rFonts w:asciiTheme="majorHAnsi" w:hAnsiTheme="majorHAnsi" w:cstheme="majorHAnsi"/>
        </w:rPr>
      </w:pPr>
      <w:bookmarkStart w:id="34" w:name="_heading=h.147n2zr" w:colFirst="0" w:colLast="0"/>
      <w:bookmarkEnd w:id="34"/>
      <w:r w:rsidRPr="00ED7B99">
        <w:rPr>
          <w:rFonts w:asciiTheme="majorHAnsi" w:hAnsiTheme="majorHAnsi" w:cstheme="majorHAnsi"/>
        </w:rPr>
        <w:t>Federalno ministarstvo, razvoja poduzetništva i obrta u promatranom periodu za realizaciju svih 15 projekata programa „Tekući transferi“ odobrilo je 25.041.698 KM a korisnici odobrenih sredstava uložili su vlastit sredstva u iznosu od 25.649.956 KM tako da su ukupno utrošena sredstva za razvoj male privrede u ovom periodu iznosila 50.918.654 KM. Činjenica da su za 2% korisnici uložili više vlastitih sredstava ukazuje na kvalitetu projekta i njihovu aktualnost koja se zadnjih godina pomjera ka poticaju poslovnih aktivnosti i stvaranju okruženja za malu privredu na pravcima zelene tranzicije i digitalne transformacije.</w:t>
      </w:r>
    </w:p>
    <w:p w14:paraId="63226E18" w14:textId="264443A1" w:rsidR="00A63412" w:rsidRDefault="00A63412" w:rsidP="00A63412">
      <w:pPr>
        <w:pStyle w:val="Caption"/>
        <w:keepNext/>
      </w:pPr>
      <w:r>
        <w:t xml:space="preserve">Tabela </w:t>
      </w:r>
      <w:fldSimple w:instr=" SEQ Tabela \* ARABIC ">
        <w:r w:rsidR="00DB6BC6">
          <w:rPr>
            <w:noProof/>
          </w:rPr>
          <w:t>23</w:t>
        </w:r>
      </w:fldSimple>
      <w:r>
        <w:t xml:space="preserve">. </w:t>
      </w:r>
      <w:r w:rsidRPr="00932F1B">
        <w:t>Pregled sufinansiranje projekata od strane korisnika Tekućih transfera FMRPO</w:t>
      </w:r>
    </w:p>
    <w:tbl>
      <w:tblPr>
        <w:tblStyle w:val="afb"/>
        <w:tblW w:w="9351" w:type="dxa"/>
        <w:tblBorders>
          <w:top w:val="single" w:sz="4" w:space="0" w:color="B5C1DF"/>
          <w:left w:val="single" w:sz="4" w:space="0" w:color="B5C1DF"/>
          <w:bottom w:val="single" w:sz="4" w:space="0" w:color="B5C1DF"/>
          <w:right w:val="single" w:sz="4" w:space="0" w:color="B5C1DF"/>
          <w:insideH w:val="single" w:sz="4" w:space="0" w:color="B5C1DF"/>
          <w:insideV w:val="single" w:sz="4" w:space="0" w:color="B5C1DF"/>
        </w:tblBorders>
        <w:tblLayout w:type="fixed"/>
        <w:tblLook w:val="04A0" w:firstRow="1" w:lastRow="0" w:firstColumn="1" w:lastColumn="0" w:noHBand="0" w:noVBand="1"/>
      </w:tblPr>
      <w:tblGrid>
        <w:gridCol w:w="3695"/>
        <w:gridCol w:w="1541"/>
        <w:gridCol w:w="1019"/>
        <w:gridCol w:w="1019"/>
        <w:gridCol w:w="1019"/>
        <w:gridCol w:w="1058"/>
      </w:tblGrid>
      <w:tr w:rsidR="00E440CE" w:rsidRPr="00A63412" w14:paraId="63AB5BB3" w14:textId="77777777" w:rsidTr="00A634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5" w:type="dxa"/>
            <w:vMerge w:val="restart"/>
            <w:shd w:val="clear" w:color="auto" w:fill="BCD9DE" w:themeFill="accent5" w:themeFillTint="66"/>
          </w:tcPr>
          <w:p w14:paraId="69583B4A"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sz w:val="18"/>
                <w:szCs w:val="18"/>
              </w:rPr>
              <w:t>Projekti</w:t>
            </w:r>
          </w:p>
        </w:tc>
        <w:tc>
          <w:tcPr>
            <w:tcW w:w="5656" w:type="dxa"/>
            <w:gridSpan w:val="5"/>
            <w:shd w:val="clear" w:color="auto" w:fill="BCD9DE" w:themeFill="accent5" w:themeFillTint="66"/>
          </w:tcPr>
          <w:p w14:paraId="78E77CCA" w14:textId="77777777" w:rsidR="00E440CE" w:rsidRPr="00A63412" w:rsidRDefault="003422A9" w:rsidP="00A6341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Sredstva (KM)</w:t>
            </w:r>
          </w:p>
        </w:tc>
      </w:tr>
      <w:tr w:rsidR="00E440CE" w:rsidRPr="00A63412" w14:paraId="435201AB" w14:textId="77777777" w:rsidTr="00A63412">
        <w:trPr>
          <w:trHeight w:val="510"/>
        </w:trPr>
        <w:tc>
          <w:tcPr>
            <w:cnfStyle w:val="001000000000" w:firstRow="0" w:lastRow="0" w:firstColumn="1" w:lastColumn="0" w:oddVBand="0" w:evenVBand="0" w:oddHBand="0" w:evenHBand="0" w:firstRowFirstColumn="0" w:firstRowLastColumn="0" w:lastRowFirstColumn="0" w:lastRowLastColumn="0"/>
            <w:tcW w:w="3695" w:type="dxa"/>
            <w:vMerge/>
            <w:shd w:val="clear" w:color="auto" w:fill="BCD9DE" w:themeFill="accent5" w:themeFillTint="66"/>
          </w:tcPr>
          <w:p w14:paraId="3FE9C7DB" w14:textId="77777777" w:rsidR="00E440CE" w:rsidRPr="00A63412" w:rsidRDefault="00E440CE">
            <w:pPr>
              <w:widowControl w:val="0"/>
              <w:pBdr>
                <w:top w:val="nil"/>
                <w:left w:val="nil"/>
                <w:bottom w:val="nil"/>
                <w:right w:val="nil"/>
                <w:between w:val="nil"/>
              </w:pBdr>
              <w:spacing w:line="276" w:lineRule="auto"/>
              <w:rPr>
                <w:rFonts w:asciiTheme="majorHAnsi" w:hAnsiTheme="majorHAnsi" w:cstheme="majorHAnsi"/>
                <w:sz w:val="18"/>
                <w:szCs w:val="18"/>
              </w:rPr>
            </w:pPr>
          </w:p>
        </w:tc>
        <w:tc>
          <w:tcPr>
            <w:tcW w:w="1541" w:type="dxa"/>
            <w:shd w:val="clear" w:color="auto" w:fill="BCD9DE" w:themeFill="accent5" w:themeFillTint="66"/>
          </w:tcPr>
          <w:p w14:paraId="06A4F0A2" w14:textId="77777777" w:rsidR="00E440CE" w:rsidRPr="00A63412"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Sredstva FMRPO</w:t>
            </w:r>
          </w:p>
        </w:tc>
        <w:tc>
          <w:tcPr>
            <w:tcW w:w="1019" w:type="dxa"/>
            <w:shd w:val="clear" w:color="auto" w:fill="BCD9DE" w:themeFill="accent5" w:themeFillTint="66"/>
          </w:tcPr>
          <w:p w14:paraId="00B022B0" w14:textId="77777777" w:rsidR="00E440CE" w:rsidRPr="00A63412"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Vlastita</w:t>
            </w:r>
          </w:p>
        </w:tc>
        <w:tc>
          <w:tcPr>
            <w:tcW w:w="1019" w:type="dxa"/>
            <w:shd w:val="clear" w:color="auto" w:fill="BCD9DE" w:themeFill="accent5" w:themeFillTint="66"/>
          </w:tcPr>
          <w:p w14:paraId="002F7762" w14:textId="77777777" w:rsidR="00E440CE" w:rsidRPr="00A63412"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Ukupna</w:t>
            </w:r>
          </w:p>
        </w:tc>
        <w:tc>
          <w:tcPr>
            <w:tcW w:w="1019" w:type="dxa"/>
            <w:shd w:val="clear" w:color="auto" w:fill="BCD9DE" w:themeFill="accent5" w:themeFillTint="66"/>
          </w:tcPr>
          <w:p w14:paraId="38039BFB" w14:textId="77777777" w:rsidR="00E440CE" w:rsidRPr="00A63412" w:rsidRDefault="003422A9" w:rsidP="00A6341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Opravdana</w:t>
            </w:r>
          </w:p>
        </w:tc>
        <w:tc>
          <w:tcPr>
            <w:tcW w:w="1058" w:type="dxa"/>
            <w:shd w:val="clear" w:color="auto" w:fill="BCD9DE" w:themeFill="accent5" w:themeFillTint="66"/>
          </w:tcPr>
          <w:p w14:paraId="7D83C60E" w14:textId="77777777" w:rsidR="00E440CE" w:rsidRPr="00A63412" w:rsidRDefault="003422A9" w:rsidP="00A6341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Pokrivenost vlastitim sr.</w:t>
            </w:r>
          </w:p>
        </w:tc>
      </w:tr>
      <w:tr w:rsidR="00E440CE" w:rsidRPr="00A63412" w14:paraId="3152F365"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3C16DD41"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Izgradnja poduzetničkih zona</w:t>
            </w:r>
          </w:p>
        </w:tc>
        <w:tc>
          <w:tcPr>
            <w:tcW w:w="1541" w:type="dxa"/>
          </w:tcPr>
          <w:p w14:paraId="5432E22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10.513.382</w:t>
            </w:r>
          </w:p>
        </w:tc>
        <w:tc>
          <w:tcPr>
            <w:tcW w:w="1019" w:type="dxa"/>
          </w:tcPr>
          <w:p w14:paraId="3F1BB0D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6.469.225</w:t>
            </w:r>
          </w:p>
        </w:tc>
        <w:tc>
          <w:tcPr>
            <w:tcW w:w="1019" w:type="dxa"/>
          </w:tcPr>
          <w:p w14:paraId="245BEF7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16.982.607</w:t>
            </w:r>
          </w:p>
        </w:tc>
        <w:tc>
          <w:tcPr>
            <w:tcW w:w="1019" w:type="dxa"/>
          </w:tcPr>
          <w:p w14:paraId="75FD728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15.249.266</w:t>
            </w:r>
          </w:p>
        </w:tc>
        <w:tc>
          <w:tcPr>
            <w:tcW w:w="1058" w:type="dxa"/>
          </w:tcPr>
          <w:p w14:paraId="171F92E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62%</w:t>
            </w:r>
          </w:p>
        </w:tc>
      </w:tr>
      <w:tr w:rsidR="00E440CE" w:rsidRPr="00A63412" w14:paraId="057D4681"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565036DE"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Poticaji inovatorima-pojedincima</w:t>
            </w:r>
          </w:p>
        </w:tc>
        <w:tc>
          <w:tcPr>
            <w:tcW w:w="1541" w:type="dxa"/>
          </w:tcPr>
          <w:p w14:paraId="5E55BFE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155.170</w:t>
            </w:r>
          </w:p>
        </w:tc>
        <w:tc>
          <w:tcPr>
            <w:tcW w:w="1019" w:type="dxa"/>
          </w:tcPr>
          <w:p w14:paraId="1AB1132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75.921</w:t>
            </w:r>
          </w:p>
        </w:tc>
        <w:tc>
          <w:tcPr>
            <w:tcW w:w="1019" w:type="dxa"/>
          </w:tcPr>
          <w:p w14:paraId="1637DAF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231.091</w:t>
            </w:r>
          </w:p>
        </w:tc>
        <w:tc>
          <w:tcPr>
            <w:tcW w:w="1019" w:type="dxa"/>
          </w:tcPr>
          <w:p w14:paraId="77D8FB5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205.191</w:t>
            </w:r>
          </w:p>
        </w:tc>
        <w:tc>
          <w:tcPr>
            <w:tcW w:w="1058" w:type="dxa"/>
          </w:tcPr>
          <w:p w14:paraId="5A302EB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49%</w:t>
            </w:r>
          </w:p>
        </w:tc>
      </w:tr>
      <w:tr w:rsidR="00E440CE" w:rsidRPr="00A63412" w14:paraId="70ACE801"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3206676E"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Stipendiranje učenika koji se obrazuju za tradicionalne stare obrte</w:t>
            </w:r>
          </w:p>
        </w:tc>
        <w:tc>
          <w:tcPr>
            <w:tcW w:w="1541" w:type="dxa"/>
          </w:tcPr>
          <w:p w14:paraId="3ABAB30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176.600</w:t>
            </w:r>
          </w:p>
        </w:tc>
        <w:tc>
          <w:tcPr>
            <w:tcW w:w="1019" w:type="dxa"/>
          </w:tcPr>
          <w:p w14:paraId="277261F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0</w:t>
            </w:r>
          </w:p>
        </w:tc>
        <w:tc>
          <w:tcPr>
            <w:tcW w:w="1019" w:type="dxa"/>
          </w:tcPr>
          <w:p w14:paraId="6A242AF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403.600</w:t>
            </w:r>
          </w:p>
        </w:tc>
        <w:tc>
          <w:tcPr>
            <w:tcW w:w="1019" w:type="dxa"/>
          </w:tcPr>
          <w:p w14:paraId="0890824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398.600</w:t>
            </w:r>
          </w:p>
        </w:tc>
        <w:tc>
          <w:tcPr>
            <w:tcW w:w="1058" w:type="dxa"/>
          </w:tcPr>
          <w:p w14:paraId="2AE3652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0%</w:t>
            </w:r>
          </w:p>
        </w:tc>
      </w:tr>
      <w:tr w:rsidR="00E440CE" w:rsidRPr="00A63412" w14:paraId="57BDE7BA"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344D4FD9"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Unapređenje institucijske poduzetničke infrastrukture</w:t>
            </w:r>
          </w:p>
        </w:tc>
        <w:tc>
          <w:tcPr>
            <w:tcW w:w="1541" w:type="dxa"/>
          </w:tcPr>
          <w:p w14:paraId="14FCF77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421.654</w:t>
            </w:r>
          </w:p>
        </w:tc>
        <w:tc>
          <w:tcPr>
            <w:tcW w:w="1019" w:type="dxa"/>
          </w:tcPr>
          <w:p w14:paraId="47ADB26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314.833</w:t>
            </w:r>
          </w:p>
        </w:tc>
        <w:tc>
          <w:tcPr>
            <w:tcW w:w="1019" w:type="dxa"/>
          </w:tcPr>
          <w:p w14:paraId="6DA2A33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736.487</w:t>
            </w:r>
          </w:p>
        </w:tc>
        <w:tc>
          <w:tcPr>
            <w:tcW w:w="1019" w:type="dxa"/>
          </w:tcPr>
          <w:p w14:paraId="135B4CF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736.488</w:t>
            </w:r>
          </w:p>
        </w:tc>
        <w:tc>
          <w:tcPr>
            <w:tcW w:w="1058" w:type="dxa"/>
          </w:tcPr>
          <w:p w14:paraId="30A57D1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75%</w:t>
            </w:r>
          </w:p>
        </w:tc>
      </w:tr>
      <w:tr w:rsidR="00E440CE" w:rsidRPr="00A63412" w14:paraId="6A222D20"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2B6F9FC4"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Poticaj projektima koje financira EU i drugi inozemni donatori</w:t>
            </w:r>
          </w:p>
        </w:tc>
        <w:tc>
          <w:tcPr>
            <w:tcW w:w="1541" w:type="dxa"/>
          </w:tcPr>
          <w:p w14:paraId="7450E9D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100.000</w:t>
            </w:r>
          </w:p>
        </w:tc>
        <w:tc>
          <w:tcPr>
            <w:tcW w:w="1019" w:type="dxa"/>
          </w:tcPr>
          <w:p w14:paraId="5F27831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3.306.327</w:t>
            </w:r>
          </w:p>
        </w:tc>
        <w:tc>
          <w:tcPr>
            <w:tcW w:w="1019" w:type="dxa"/>
          </w:tcPr>
          <w:p w14:paraId="09DD0D2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3.406.327</w:t>
            </w:r>
          </w:p>
        </w:tc>
        <w:tc>
          <w:tcPr>
            <w:tcW w:w="1019" w:type="dxa"/>
          </w:tcPr>
          <w:p w14:paraId="004E7E6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100.000</w:t>
            </w:r>
          </w:p>
        </w:tc>
        <w:tc>
          <w:tcPr>
            <w:tcW w:w="1058" w:type="dxa"/>
          </w:tcPr>
          <w:p w14:paraId="5E547BE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3306%</w:t>
            </w:r>
          </w:p>
        </w:tc>
      </w:tr>
      <w:tr w:rsidR="00E440CE" w:rsidRPr="00A63412" w14:paraId="4777C170"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3C2A158B"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Poticaj udruženjima, komorama i obrazovnim institucijama</w:t>
            </w:r>
          </w:p>
        </w:tc>
        <w:tc>
          <w:tcPr>
            <w:tcW w:w="1541" w:type="dxa"/>
          </w:tcPr>
          <w:p w14:paraId="3589451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509.074</w:t>
            </w:r>
          </w:p>
        </w:tc>
        <w:tc>
          <w:tcPr>
            <w:tcW w:w="1019" w:type="dxa"/>
          </w:tcPr>
          <w:p w14:paraId="6E2B99A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485.555</w:t>
            </w:r>
          </w:p>
        </w:tc>
        <w:tc>
          <w:tcPr>
            <w:tcW w:w="1019" w:type="dxa"/>
          </w:tcPr>
          <w:p w14:paraId="19B1AA6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994.629</w:t>
            </w:r>
          </w:p>
        </w:tc>
        <w:tc>
          <w:tcPr>
            <w:tcW w:w="1019" w:type="dxa"/>
          </w:tcPr>
          <w:p w14:paraId="4FE20C8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930.498</w:t>
            </w:r>
          </w:p>
        </w:tc>
        <w:tc>
          <w:tcPr>
            <w:tcW w:w="1058" w:type="dxa"/>
          </w:tcPr>
          <w:p w14:paraId="2E066C5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95%</w:t>
            </w:r>
          </w:p>
        </w:tc>
      </w:tr>
      <w:tr w:rsidR="00E440CE" w:rsidRPr="00A63412" w14:paraId="5ECC5381"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5844D27B"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Tehničko usklađivanje (uvođenje ISO, HACCAP standarda i osiguranje CE znaka)</w:t>
            </w:r>
          </w:p>
        </w:tc>
        <w:tc>
          <w:tcPr>
            <w:tcW w:w="1541" w:type="dxa"/>
          </w:tcPr>
          <w:p w14:paraId="634BAEF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345.839</w:t>
            </w:r>
          </w:p>
        </w:tc>
        <w:tc>
          <w:tcPr>
            <w:tcW w:w="1019" w:type="dxa"/>
          </w:tcPr>
          <w:p w14:paraId="69853F3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153.126</w:t>
            </w:r>
          </w:p>
        </w:tc>
        <w:tc>
          <w:tcPr>
            <w:tcW w:w="1019" w:type="dxa"/>
          </w:tcPr>
          <w:p w14:paraId="37D6B48A"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498.965</w:t>
            </w:r>
          </w:p>
        </w:tc>
        <w:tc>
          <w:tcPr>
            <w:tcW w:w="1019" w:type="dxa"/>
          </w:tcPr>
          <w:p w14:paraId="42D8D54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479.965</w:t>
            </w:r>
          </w:p>
        </w:tc>
        <w:tc>
          <w:tcPr>
            <w:tcW w:w="1058" w:type="dxa"/>
          </w:tcPr>
          <w:p w14:paraId="137A885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44%</w:t>
            </w:r>
          </w:p>
        </w:tc>
      </w:tr>
      <w:tr w:rsidR="00E440CE" w:rsidRPr="00A63412" w14:paraId="2E041B4E"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5FAC7206"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Poticaji tradicionalnim i starim obrtima</w:t>
            </w:r>
          </w:p>
        </w:tc>
        <w:tc>
          <w:tcPr>
            <w:tcW w:w="1541" w:type="dxa"/>
          </w:tcPr>
          <w:p w14:paraId="759F3B2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887.172</w:t>
            </w:r>
          </w:p>
        </w:tc>
        <w:tc>
          <w:tcPr>
            <w:tcW w:w="1019" w:type="dxa"/>
          </w:tcPr>
          <w:p w14:paraId="78AE15D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601.540</w:t>
            </w:r>
          </w:p>
        </w:tc>
        <w:tc>
          <w:tcPr>
            <w:tcW w:w="1019" w:type="dxa"/>
          </w:tcPr>
          <w:p w14:paraId="4989F4D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1.488.712</w:t>
            </w:r>
          </w:p>
        </w:tc>
        <w:tc>
          <w:tcPr>
            <w:tcW w:w="1019" w:type="dxa"/>
          </w:tcPr>
          <w:p w14:paraId="4C82941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1.433.038</w:t>
            </w:r>
          </w:p>
        </w:tc>
        <w:tc>
          <w:tcPr>
            <w:tcW w:w="1058" w:type="dxa"/>
          </w:tcPr>
          <w:p w14:paraId="4877910A"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68%</w:t>
            </w:r>
          </w:p>
        </w:tc>
      </w:tr>
      <w:tr w:rsidR="00E440CE" w:rsidRPr="00A63412" w14:paraId="61F7801A"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6E983DAC"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Poticaji razvoju vezanih i posebnih obrta</w:t>
            </w:r>
          </w:p>
        </w:tc>
        <w:tc>
          <w:tcPr>
            <w:tcW w:w="1541" w:type="dxa"/>
          </w:tcPr>
          <w:p w14:paraId="6182F47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1.693.157</w:t>
            </w:r>
          </w:p>
        </w:tc>
        <w:tc>
          <w:tcPr>
            <w:tcW w:w="1019" w:type="dxa"/>
          </w:tcPr>
          <w:p w14:paraId="77E9FC6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1.500.701</w:t>
            </w:r>
          </w:p>
        </w:tc>
        <w:tc>
          <w:tcPr>
            <w:tcW w:w="1019" w:type="dxa"/>
          </w:tcPr>
          <w:p w14:paraId="668506E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3.193.858</w:t>
            </w:r>
          </w:p>
        </w:tc>
        <w:tc>
          <w:tcPr>
            <w:tcW w:w="1019" w:type="dxa"/>
          </w:tcPr>
          <w:p w14:paraId="1867E10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3.072.822</w:t>
            </w:r>
          </w:p>
        </w:tc>
        <w:tc>
          <w:tcPr>
            <w:tcW w:w="1058" w:type="dxa"/>
          </w:tcPr>
          <w:p w14:paraId="6431B4F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89%</w:t>
            </w:r>
          </w:p>
        </w:tc>
      </w:tr>
      <w:tr w:rsidR="00E440CE" w:rsidRPr="00A63412" w14:paraId="21105C4D"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6EFA5DA1"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Poticaji novoosnovanim subjektima malog gospodarstva</w:t>
            </w:r>
          </w:p>
        </w:tc>
        <w:tc>
          <w:tcPr>
            <w:tcW w:w="1541" w:type="dxa"/>
          </w:tcPr>
          <w:p w14:paraId="15E6D0D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3.330.227</w:t>
            </w:r>
          </w:p>
        </w:tc>
        <w:tc>
          <w:tcPr>
            <w:tcW w:w="1019" w:type="dxa"/>
          </w:tcPr>
          <w:p w14:paraId="52E5A7F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0</w:t>
            </w:r>
          </w:p>
        </w:tc>
        <w:tc>
          <w:tcPr>
            <w:tcW w:w="1019" w:type="dxa"/>
          </w:tcPr>
          <w:p w14:paraId="4F6A420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3.330.227</w:t>
            </w:r>
          </w:p>
        </w:tc>
        <w:tc>
          <w:tcPr>
            <w:tcW w:w="1019" w:type="dxa"/>
          </w:tcPr>
          <w:p w14:paraId="3A737AA1"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3.063.832</w:t>
            </w:r>
          </w:p>
        </w:tc>
        <w:tc>
          <w:tcPr>
            <w:tcW w:w="1058" w:type="dxa"/>
          </w:tcPr>
          <w:p w14:paraId="7B3450E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0%</w:t>
            </w:r>
          </w:p>
        </w:tc>
      </w:tr>
      <w:tr w:rsidR="00E440CE" w:rsidRPr="00A63412" w14:paraId="08C12714"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0BB1BA3C"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Poticaj poduzetništvu žena</w:t>
            </w:r>
          </w:p>
        </w:tc>
        <w:tc>
          <w:tcPr>
            <w:tcW w:w="1541" w:type="dxa"/>
          </w:tcPr>
          <w:p w14:paraId="3C42557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350.000</w:t>
            </w:r>
          </w:p>
        </w:tc>
        <w:tc>
          <w:tcPr>
            <w:tcW w:w="1019" w:type="dxa"/>
          </w:tcPr>
          <w:p w14:paraId="57D626A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422.243</w:t>
            </w:r>
          </w:p>
        </w:tc>
        <w:tc>
          <w:tcPr>
            <w:tcW w:w="1019" w:type="dxa"/>
          </w:tcPr>
          <w:p w14:paraId="4D96904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772.243</w:t>
            </w:r>
          </w:p>
        </w:tc>
        <w:tc>
          <w:tcPr>
            <w:tcW w:w="1019" w:type="dxa"/>
          </w:tcPr>
          <w:p w14:paraId="24295D3E"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762.615</w:t>
            </w:r>
          </w:p>
        </w:tc>
        <w:tc>
          <w:tcPr>
            <w:tcW w:w="1058" w:type="dxa"/>
          </w:tcPr>
          <w:p w14:paraId="61EAD38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121%</w:t>
            </w:r>
          </w:p>
        </w:tc>
      </w:tr>
      <w:tr w:rsidR="00E440CE" w:rsidRPr="00A63412" w14:paraId="34D4AB08"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7504DF9D"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Poticaj poduzetništvu mladih</w:t>
            </w:r>
          </w:p>
        </w:tc>
        <w:tc>
          <w:tcPr>
            <w:tcW w:w="1541" w:type="dxa"/>
          </w:tcPr>
          <w:p w14:paraId="5703707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347.889</w:t>
            </w:r>
          </w:p>
        </w:tc>
        <w:tc>
          <w:tcPr>
            <w:tcW w:w="1019" w:type="dxa"/>
          </w:tcPr>
          <w:p w14:paraId="39FE446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187.147</w:t>
            </w:r>
          </w:p>
        </w:tc>
        <w:tc>
          <w:tcPr>
            <w:tcW w:w="1019" w:type="dxa"/>
          </w:tcPr>
          <w:p w14:paraId="6A92B54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535.036</w:t>
            </w:r>
          </w:p>
        </w:tc>
        <w:tc>
          <w:tcPr>
            <w:tcW w:w="1019" w:type="dxa"/>
          </w:tcPr>
          <w:p w14:paraId="19403AE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489.916</w:t>
            </w:r>
          </w:p>
        </w:tc>
        <w:tc>
          <w:tcPr>
            <w:tcW w:w="1058" w:type="dxa"/>
          </w:tcPr>
          <w:p w14:paraId="50219EC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54%</w:t>
            </w:r>
          </w:p>
        </w:tc>
      </w:tr>
      <w:tr w:rsidR="00E440CE" w:rsidRPr="00A63412" w14:paraId="7EC1B200"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5DB225F9"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 xml:space="preserve">Jačanje konkurentnosti MSP-a  </w:t>
            </w:r>
          </w:p>
        </w:tc>
        <w:tc>
          <w:tcPr>
            <w:tcW w:w="1541" w:type="dxa"/>
          </w:tcPr>
          <w:p w14:paraId="1667BA0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5.958.534</w:t>
            </w:r>
          </w:p>
        </w:tc>
        <w:tc>
          <w:tcPr>
            <w:tcW w:w="1019" w:type="dxa"/>
          </w:tcPr>
          <w:p w14:paraId="24580F4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12.133.338</w:t>
            </w:r>
          </w:p>
        </w:tc>
        <w:tc>
          <w:tcPr>
            <w:tcW w:w="1019" w:type="dxa"/>
          </w:tcPr>
          <w:p w14:paraId="614E2EB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18.091.872</w:t>
            </w:r>
          </w:p>
        </w:tc>
        <w:tc>
          <w:tcPr>
            <w:tcW w:w="1019" w:type="dxa"/>
          </w:tcPr>
          <w:p w14:paraId="0F63173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17.896.518</w:t>
            </w:r>
          </w:p>
        </w:tc>
        <w:tc>
          <w:tcPr>
            <w:tcW w:w="1058" w:type="dxa"/>
          </w:tcPr>
          <w:p w14:paraId="677E990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204%</w:t>
            </w:r>
          </w:p>
        </w:tc>
      </w:tr>
      <w:tr w:rsidR="00E440CE" w:rsidRPr="00A63412" w14:paraId="5FEC3A4B"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67D6B1FE"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Pružanje mentoring usluga za subjekte malog gospodarstva</w:t>
            </w:r>
          </w:p>
        </w:tc>
        <w:tc>
          <w:tcPr>
            <w:tcW w:w="1541" w:type="dxa"/>
          </w:tcPr>
          <w:p w14:paraId="3277513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26.000</w:t>
            </w:r>
          </w:p>
        </w:tc>
        <w:tc>
          <w:tcPr>
            <w:tcW w:w="1019" w:type="dxa"/>
          </w:tcPr>
          <w:p w14:paraId="26727834"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0</w:t>
            </w:r>
          </w:p>
        </w:tc>
        <w:tc>
          <w:tcPr>
            <w:tcW w:w="1019" w:type="dxa"/>
          </w:tcPr>
          <w:p w14:paraId="107A2D9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26.000</w:t>
            </w:r>
          </w:p>
        </w:tc>
        <w:tc>
          <w:tcPr>
            <w:tcW w:w="1019" w:type="dxa"/>
          </w:tcPr>
          <w:p w14:paraId="3A33FDB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26.000</w:t>
            </w:r>
          </w:p>
        </w:tc>
        <w:tc>
          <w:tcPr>
            <w:tcW w:w="1058" w:type="dxa"/>
          </w:tcPr>
          <w:p w14:paraId="7799BCC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0%</w:t>
            </w:r>
          </w:p>
        </w:tc>
      </w:tr>
      <w:tr w:rsidR="00E440CE" w:rsidRPr="00A63412" w14:paraId="6A18F99A"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tcPr>
          <w:p w14:paraId="04852FFC"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b w:val="0"/>
                <w:sz w:val="18"/>
                <w:szCs w:val="18"/>
              </w:rPr>
              <w:t>Stipendiranje učenika koji se obrazuju za deficitarna zanimanja</w:t>
            </w:r>
          </w:p>
        </w:tc>
        <w:tc>
          <w:tcPr>
            <w:tcW w:w="1541" w:type="dxa"/>
          </w:tcPr>
          <w:p w14:paraId="048E76C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227.000</w:t>
            </w:r>
          </w:p>
        </w:tc>
        <w:tc>
          <w:tcPr>
            <w:tcW w:w="1019" w:type="dxa"/>
          </w:tcPr>
          <w:p w14:paraId="686F1B16"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0</w:t>
            </w:r>
          </w:p>
        </w:tc>
        <w:tc>
          <w:tcPr>
            <w:tcW w:w="1019" w:type="dxa"/>
          </w:tcPr>
          <w:p w14:paraId="096F0BB0"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227.000</w:t>
            </w:r>
          </w:p>
        </w:tc>
        <w:tc>
          <w:tcPr>
            <w:tcW w:w="1019" w:type="dxa"/>
          </w:tcPr>
          <w:p w14:paraId="0420199C"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226.000</w:t>
            </w:r>
          </w:p>
        </w:tc>
        <w:tc>
          <w:tcPr>
            <w:tcW w:w="1058" w:type="dxa"/>
          </w:tcPr>
          <w:p w14:paraId="5E8331C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63412">
              <w:rPr>
                <w:rFonts w:asciiTheme="majorHAnsi" w:hAnsiTheme="majorHAnsi" w:cstheme="majorHAnsi"/>
                <w:sz w:val="18"/>
                <w:szCs w:val="18"/>
              </w:rPr>
              <w:t>0%</w:t>
            </w:r>
          </w:p>
        </w:tc>
      </w:tr>
      <w:tr w:rsidR="00E440CE" w:rsidRPr="00A63412" w14:paraId="6330F025"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3695" w:type="dxa"/>
            <w:shd w:val="clear" w:color="auto" w:fill="BCD9DE" w:themeFill="accent5" w:themeFillTint="66"/>
          </w:tcPr>
          <w:p w14:paraId="5B2C7B22" w14:textId="77777777" w:rsidR="00E440CE" w:rsidRPr="00A63412" w:rsidRDefault="003422A9">
            <w:pPr>
              <w:rPr>
                <w:rFonts w:asciiTheme="majorHAnsi" w:hAnsiTheme="majorHAnsi" w:cstheme="majorHAnsi"/>
                <w:sz w:val="18"/>
                <w:szCs w:val="18"/>
              </w:rPr>
            </w:pPr>
            <w:r w:rsidRPr="00A63412">
              <w:rPr>
                <w:rFonts w:asciiTheme="majorHAnsi" w:hAnsiTheme="majorHAnsi" w:cstheme="majorHAnsi"/>
                <w:sz w:val="18"/>
                <w:szCs w:val="18"/>
              </w:rPr>
              <w:t xml:space="preserve">Ukupno </w:t>
            </w:r>
          </w:p>
        </w:tc>
        <w:tc>
          <w:tcPr>
            <w:tcW w:w="1541" w:type="dxa"/>
            <w:shd w:val="clear" w:color="auto" w:fill="BCD9DE" w:themeFill="accent5" w:themeFillTint="66"/>
          </w:tcPr>
          <w:p w14:paraId="547CC0A9"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A63412">
              <w:rPr>
                <w:rFonts w:asciiTheme="majorHAnsi" w:hAnsiTheme="majorHAnsi" w:cstheme="majorHAnsi"/>
                <w:b/>
                <w:sz w:val="18"/>
                <w:szCs w:val="18"/>
              </w:rPr>
              <w:t>25.041.698</w:t>
            </w:r>
          </w:p>
        </w:tc>
        <w:tc>
          <w:tcPr>
            <w:tcW w:w="1019" w:type="dxa"/>
            <w:shd w:val="clear" w:color="auto" w:fill="BCD9DE" w:themeFill="accent5" w:themeFillTint="66"/>
          </w:tcPr>
          <w:p w14:paraId="50F7F028"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A63412">
              <w:rPr>
                <w:rFonts w:asciiTheme="majorHAnsi" w:hAnsiTheme="majorHAnsi" w:cstheme="majorHAnsi"/>
                <w:b/>
                <w:sz w:val="18"/>
                <w:szCs w:val="18"/>
              </w:rPr>
              <w:t>25.649.956</w:t>
            </w:r>
          </w:p>
        </w:tc>
        <w:tc>
          <w:tcPr>
            <w:tcW w:w="1019" w:type="dxa"/>
            <w:shd w:val="clear" w:color="auto" w:fill="BCD9DE" w:themeFill="accent5" w:themeFillTint="66"/>
          </w:tcPr>
          <w:p w14:paraId="52C5036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bookmarkStart w:id="35" w:name="_heading=h.3o7alnk" w:colFirst="0" w:colLast="0"/>
            <w:bookmarkEnd w:id="35"/>
            <w:r w:rsidRPr="00A63412">
              <w:rPr>
                <w:rFonts w:asciiTheme="majorHAnsi" w:hAnsiTheme="majorHAnsi" w:cstheme="majorHAnsi"/>
                <w:b/>
                <w:sz w:val="18"/>
                <w:szCs w:val="18"/>
              </w:rPr>
              <w:t>50.918.654</w:t>
            </w:r>
          </w:p>
        </w:tc>
        <w:tc>
          <w:tcPr>
            <w:tcW w:w="1019" w:type="dxa"/>
            <w:shd w:val="clear" w:color="auto" w:fill="BCD9DE" w:themeFill="accent5" w:themeFillTint="66"/>
          </w:tcPr>
          <w:p w14:paraId="6B213EB7"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A63412">
              <w:rPr>
                <w:rFonts w:asciiTheme="majorHAnsi" w:hAnsiTheme="majorHAnsi" w:cstheme="majorHAnsi"/>
                <w:b/>
                <w:sz w:val="18"/>
                <w:szCs w:val="18"/>
              </w:rPr>
              <w:t>45.070.749</w:t>
            </w:r>
          </w:p>
        </w:tc>
        <w:tc>
          <w:tcPr>
            <w:tcW w:w="1058" w:type="dxa"/>
            <w:shd w:val="clear" w:color="auto" w:fill="BCD9DE" w:themeFill="accent5" w:themeFillTint="66"/>
          </w:tcPr>
          <w:p w14:paraId="756FF5AD"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A63412">
              <w:rPr>
                <w:rFonts w:asciiTheme="majorHAnsi" w:hAnsiTheme="majorHAnsi" w:cstheme="majorHAnsi"/>
                <w:b/>
                <w:sz w:val="18"/>
                <w:szCs w:val="18"/>
              </w:rPr>
              <w:t>102%</w:t>
            </w:r>
          </w:p>
        </w:tc>
      </w:tr>
    </w:tbl>
    <w:p w14:paraId="6779B6D9" w14:textId="77777777" w:rsidR="00E440CE" w:rsidRPr="00ED7B99" w:rsidRDefault="00E440CE">
      <w:pPr>
        <w:rPr>
          <w:rFonts w:asciiTheme="majorHAnsi" w:hAnsiTheme="majorHAnsi" w:cstheme="majorHAnsi"/>
        </w:rPr>
      </w:pPr>
    </w:p>
    <w:p w14:paraId="436882E4" w14:textId="5F3087EC" w:rsidR="00E440CE" w:rsidRPr="00ED7B99" w:rsidRDefault="003422A9">
      <w:pPr>
        <w:jc w:val="both"/>
        <w:rPr>
          <w:rFonts w:asciiTheme="majorHAnsi" w:hAnsiTheme="majorHAnsi" w:cstheme="majorHAnsi"/>
        </w:rPr>
      </w:pPr>
      <w:r w:rsidRPr="00ED7B99">
        <w:rPr>
          <w:rFonts w:asciiTheme="majorHAnsi" w:hAnsiTheme="majorHAnsi" w:cstheme="majorHAnsi"/>
        </w:rPr>
        <w:t>Federalno ministarstvo, razvoja poduzetništva i obrta prati realizaciju utroška sredstava po oblastima ulaganja.  U periodu 201</w:t>
      </w:r>
      <w:r w:rsidR="00A63412">
        <w:rPr>
          <w:rFonts w:asciiTheme="majorHAnsi" w:hAnsiTheme="majorHAnsi" w:cstheme="majorHAnsi"/>
        </w:rPr>
        <w:t>6</w:t>
      </w:r>
      <w:r w:rsidRPr="00ED7B99">
        <w:rPr>
          <w:rFonts w:asciiTheme="majorHAnsi" w:hAnsiTheme="majorHAnsi" w:cstheme="majorHAnsi"/>
        </w:rPr>
        <w:t xml:space="preserve">-2019. godina najviše sredstava (korisnika i FMRPO) </w:t>
      </w:r>
      <w:r w:rsidRPr="00ED7B99">
        <w:rPr>
          <w:rFonts w:asciiTheme="majorHAnsi" w:hAnsiTheme="majorHAnsi" w:cstheme="majorHAnsi"/>
        </w:rPr>
        <w:lastRenderedPageBreak/>
        <w:t xml:space="preserve">utrošeno je za za nabavku opreme, zatim za infrastrukturu a najmanje za repromaterijal i objekte. Oblast „Ostalo“ odnosi se na utrošak sredstava za uvođenje tehničkih normi, CE znaka, inovatorstvo, stipendiranje, potpora komorama i udruženjima, razne manifestacije kao i sve druge aktivnosti koje se ne mogu klasificirati kroz objekte, infrastrukturu, opremu i repromaterijal. Neutrošeni dio od ukupnih financijskih sredstava u iznosu od 2.558.546 KM odnosi se na sredstva koja nisu pravdana od strane korisnika sredstava. </w:t>
      </w:r>
    </w:p>
    <w:p w14:paraId="48E66C6F" w14:textId="6068204E" w:rsidR="00A63412" w:rsidRDefault="00A63412" w:rsidP="00A63412">
      <w:pPr>
        <w:pStyle w:val="Caption"/>
        <w:keepNext/>
      </w:pPr>
      <w:r>
        <w:t xml:space="preserve">Tabela </w:t>
      </w:r>
      <w:fldSimple w:instr=" SEQ Tabela \* ARABIC ">
        <w:r w:rsidR="00DB6BC6">
          <w:rPr>
            <w:noProof/>
          </w:rPr>
          <w:t>24</w:t>
        </w:r>
      </w:fldSimple>
      <w:r>
        <w:t xml:space="preserve">. </w:t>
      </w:r>
      <w:r w:rsidRPr="00363833">
        <w:t>Pregled oblasti ulaganja korisnika Tekućih transfera FMRPO u periodu 2016.-2019.</w:t>
      </w:r>
    </w:p>
    <w:tbl>
      <w:tblPr>
        <w:tblStyle w:val="afc"/>
        <w:tblW w:w="9072" w:type="dxa"/>
        <w:tblBorders>
          <w:top w:val="single" w:sz="4" w:space="0" w:color="B5C1DF"/>
          <w:left w:val="single" w:sz="4" w:space="0" w:color="B5C1DF"/>
          <w:bottom w:val="single" w:sz="4" w:space="0" w:color="B5C1DF"/>
          <w:right w:val="single" w:sz="4" w:space="0" w:color="B5C1DF"/>
          <w:insideH w:val="single" w:sz="4" w:space="0" w:color="B5C1DF"/>
          <w:insideV w:val="single" w:sz="4" w:space="0" w:color="B5C1DF"/>
        </w:tblBorders>
        <w:tblLayout w:type="fixed"/>
        <w:tblLook w:val="04A0" w:firstRow="1" w:lastRow="0" w:firstColumn="1" w:lastColumn="0" w:noHBand="0" w:noVBand="1"/>
      </w:tblPr>
      <w:tblGrid>
        <w:gridCol w:w="2709"/>
        <w:gridCol w:w="988"/>
        <w:gridCol w:w="1016"/>
        <w:gridCol w:w="1152"/>
        <w:gridCol w:w="1111"/>
        <w:gridCol w:w="988"/>
        <w:gridCol w:w="1108"/>
      </w:tblGrid>
      <w:tr w:rsidR="00E440CE" w:rsidRPr="00ED7B99" w14:paraId="6AD0A01E" w14:textId="77777777" w:rsidTr="00A634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shd w:val="clear" w:color="auto" w:fill="BCD9DE" w:themeFill="accent5" w:themeFillTint="66"/>
          </w:tcPr>
          <w:p w14:paraId="0811C0D9"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 Oblast ulaganja</w:t>
            </w:r>
          </w:p>
        </w:tc>
        <w:tc>
          <w:tcPr>
            <w:tcW w:w="988" w:type="dxa"/>
            <w:shd w:val="clear" w:color="auto" w:fill="BCD9DE" w:themeFill="accent5" w:themeFillTint="66"/>
          </w:tcPr>
          <w:p w14:paraId="2C200BCA" w14:textId="77777777" w:rsidR="00E440CE" w:rsidRPr="00ED7B99"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2016.</w:t>
            </w:r>
          </w:p>
        </w:tc>
        <w:tc>
          <w:tcPr>
            <w:tcW w:w="1016" w:type="dxa"/>
            <w:shd w:val="clear" w:color="auto" w:fill="BCD9DE" w:themeFill="accent5" w:themeFillTint="66"/>
          </w:tcPr>
          <w:p w14:paraId="64711EBF" w14:textId="77777777" w:rsidR="00E440CE" w:rsidRPr="00ED7B99"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2017.</w:t>
            </w:r>
          </w:p>
        </w:tc>
        <w:tc>
          <w:tcPr>
            <w:tcW w:w="1152" w:type="dxa"/>
            <w:shd w:val="clear" w:color="auto" w:fill="BCD9DE" w:themeFill="accent5" w:themeFillTint="66"/>
          </w:tcPr>
          <w:p w14:paraId="62B56179" w14:textId="77777777" w:rsidR="00E440CE" w:rsidRPr="00ED7B99"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2018.</w:t>
            </w:r>
          </w:p>
        </w:tc>
        <w:tc>
          <w:tcPr>
            <w:tcW w:w="1111" w:type="dxa"/>
            <w:shd w:val="clear" w:color="auto" w:fill="BCD9DE" w:themeFill="accent5" w:themeFillTint="66"/>
          </w:tcPr>
          <w:p w14:paraId="636941DC" w14:textId="77777777" w:rsidR="00E440CE" w:rsidRPr="00ED7B99"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2019</w:t>
            </w:r>
          </w:p>
        </w:tc>
        <w:tc>
          <w:tcPr>
            <w:tcW w:w="988" w:type="dxa"/>
            <w:shd w:val="clear" w:color="auto" w:fill="BCD9DE" w:themeFill="accent5" w:themeFillTint="66"/>
          </w:tcPr>
          <w:p w14:paraId="58108C22" w14:textId="77777777" w:rsidR="00E440CE" w:rsidRPr="00ED7B99"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2021.</w:t>
            </w:r>
          </w:p>
        </w:tc>
        <w:tc>
          <w:tcPr>
            <w:tcW w:w="1108" w:type="dxa"/>
            <w:shd w:val="clear" w:color="auto" w:fill="BCD9DE" w:themeFill="accent5" w:themeFillTint="66"/>
          </w:tcPr>
          <w:p w14:paraId="0DDCCDD2" w14:textId="77777777" w:rsidR="00E440CE" w:rsidRPr="00ED7B99"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Ukupno</w:t>
            </w:r>
          </w:p>
        </w:tc>
      </w:tr>
      <w:tr w:rsidR="00E440CE" w:rsidRPr="00ED7B99" w14:paraId="43EC1C3A"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609B8CE4"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Objekti</w:t>
            </w:r>
          </w:p>
        </w:tc>
        <w:tc>
          <w:tcPr>
            <w:tcW w:w="988" w:type="dxa"/>
          </w:tcPr>
          <w:p w14:paraId="4A78F98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100.485</w:t>
            </w:r>
          </w:p>
        </w:tc>
        <w:tc>
          <w:tcPr>
            <w:tcW w:w="1016" w:type="dxa"/>
          </w:tcPr>
          <w:p w14:paraId="1E0A26D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94.407</w:t>
            </w:r>
          </w:p>
        </w:tc>
        <w:tc>
          <w:tcPr>
            <w:tcW w:w="1152" w:type="dxa"/>
          </w:tcPr>
          <w:p w14:paraId="068185D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410.473</w:t>
            </w:r>
          </w:p>
        </w:tc>
        <w:tc>
          <w:tcPr>
            <w:tcW w:w="1111" w:type="dxa"/>
          </w:tcPr>
          <w:p w14:paraId="31F83A4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52.332</w:t>
            </w:r>
          </w:p>
        </w:tc>
        <w:tc>
          <w:tcPr>
            <w:tcW w:w="988" w:type="dxa"/>
          </w:tcPr>
          <w:p w14:paraId="1ADFD5D0"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108" w:type="dxa"/>
          </w:tcPr>
          <w:p w14:paraId="181A4C4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657.697</w:t>
            </w:r>
          </w:p>
        </w:tc>
      </w:tr>
      <w:tr w:rsidR="00E440CE" w:rsidRPr="00ED7B99" w14:paraId="5FD99AEB"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5403A2E7"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Infrastruktura</w:t>
            </w:r>
          </w:p>
        </w:tc>
        <w:tc>
          <w:tcPr>
            <w:tcW w:w="988" w:type="dxa"/>
          </w:tcPr>
          <w:p w14:paraId="2A8D5CD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1.000</w:t>
            </w:r>
          </w:p>
        </w:tc>
        <w:tc>
          <w:tcPr>
            <w:tcW w:w="1016" w:type="dxa"/>
          </w:tcPr>
          <w:p w14:paraId="0C2FBE0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1.405.858</w:t>
            </w:r>
          </w:p>
        </w:tc>
        <w:tc>
          <w:tcPr>
            <w:tcW w:w="1152" w:type="dxa"/>
          </w:tcPr>
          <w:p w14:paraId="1E99300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6.949.450</w:t>
            </w:r>
          </w:p>
        </w:tc>
        <w:tc>
          <w:tcPr>
            <w:tcW w:w="1111" w:type="dxa"/>
          </w:tcPr>
          <w:p w14:paraId="75D3C26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6.400.329</w:t>
            </w:r>
          </w:p>
        </w:tc>
        <w:tc>
          <w:tcPr>
            <w:tcW w:w="988" w:type="dxa"/>
          </w:tcPr>
          <w:p w14:paraId="57D59EB1"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108" w:type="dxa"/>
          </w:tcPr>
          <w:p w14:paraId="3935CBD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14.756.637</w:t>
            </w:r>
          </w:p>
        </w:tc>
      </w:tr>
      <w:tr w:rsidR="00E440CE" w:rsidRPr="00ED7B99" w14:paraId="5972FFC1"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3A1922D5"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Oprema</w:t>
            </w:r>
          </w:p>
        </w:tc>
        <w:tc>
          <w:tcPr>
            <w:tcW w:w="988" w:type="dxa"/>
          </w:tcPr>
          <w:p w14:paraId="715A09B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4.856.183</w:t>
            </w:r>
          </w:p>
        </w:tc>
        <w:tc>
          <w:tcPr>
            <w:tcW w:w="1016" w:type="dxa"/>
          </w:tcPr>
          <w:p w14:paraId="26337E2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5.375.872</w:t>
            </w:r>
          </w:p>
        </w:tc>
        <w:tc>
          <w:tcPr>
            <w:tcW w:w="1152" w:type="dxa"/>
          </w:tcPr>
          <w:p w14:paraId="207AB14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6.503.490</w:t>
            </w:r>
          </w:p>
        </w:tc>
        <w:tc>
          <w:tcPr>
            <w:tcW w:w="1111" w:type="dxa"/>
          </w:tcPr>
          <w:p w14:paraId="1DF08D5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5.689.724</w:t>
            </w:r>
          </w:p>
        </w:tc>
        <w:tc>
          <w:tcPr>
            <w:tcW w:w="988" w:type="dxa"/>
          </w:tcPr>
          <w:p w14:paraId="306C4A68"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108" w:type="dxa"/>
          </w:tcPr>
          <w:p w14:paraId="456F49E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22.425.269</w:t>
            </w:r>
          </w:p>
        </w:tc>
      </w:tr>
      <w:tr w:rsidR="00E440CE" w:rsidRPr="00ED7B99" w14:paraId="6098324A"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2BCA6AFA"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Repromaterijal</w:t>
            </w:r>
          </w:p>
        </w:tc>
        <w:tc>
          <w:tcPr>
            <w:tcW w:w="988" w:type="dxa"/>
          </w:tcPr>
          <w:p w14:paraId="0F76C6D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213.446</w:t>
            </w:r>
          </w:p>
        </w:tc>
        <w:tc>
          <w:tcPr>
            <w:tcW w:w="1016" w:type="dxa"/>
          </w:tcPr>
          <w:p w14:paraId="5AB6438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52.042</w:t>
            </w:r>
          </w:p>
        </w:tc>
        <w:tc>
          <w:tcPr>
            <w:tcW w:w="1152" w:type="dxa"/>
          </w:tcPr>
          <w:p w14:paraId="1D485DD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86.571</w:t>
            </w:r>
          </w:p>
        </w:tc>
        <w:tc>
          <w:tcPr>
            <w:tcW w:w="1111" w:type="dxa"/>
          </w:tcPr>
          <w:p w14:paraId="7C44E0D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27.378</w:t>
            </w:r>
          </w:p>
        </w:tc>
        <w:tc>
          <w:tcPr>
            <w:tcW w:w="988" w:type="dxa"/>
          </w:tcPr>
          <w:p w14:paraId="79735D5E"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108" w:type="dxa"/>
          </w:tcPr>
          <w:p w14:paraId="59D1CC5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379.437</w:t>
            </w:r>
          </w:p>
        </w:tc>
      </w:tr>
      <w:tr w:rsidR="00E440CE" w:rsidRPr="00ED7B99" w14:paraId="50DBD8AA"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49CE2C2E"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Ostalo</w:t>
            </w:r>
          </w:p>
        </w:tc>
        <w:tc>
          <w:tcPr>
            <w:tcW w:w="988" w:type="dxa"/>
          </w:tcPr>
          <w:p w14:paraId="0581BEC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1.430.816</w:t>
            </w:r>
          </w:p>
        </w:tc>
        <w:tc>
          <w:tcPr>
            <w:tcW w:w="1016" w:type="dxa"/>
          </w:tcPr>
          <w:p w14:paraId="5D7F7DA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1.748.801</w:t>
            </w:r>
          </w:p>
        </w:tc>
        <w:tc>
          <w:tcPr>
            <w:tcW w:w="1152" w:type="dxa"/>
          </w:tcPr>
          <w:p w14:paraId="7F04487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1.575.183</w:t>
            </w:r>
          </w:p>
        </w:tc>
        <w:tc>
          <w:tcPr>
            <w:tcW w:w="1111" w:type="dxa"/>
          </w:tcPr>
          <w:p w14:paraId="625C93B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1.811.046</w:t>
            </w:r>
          </w:p>
        </w:tc>
        <w:tc>
          <w:tcPr>
            <w:tcW w:w="988" w:type="dxa"/>
          </w:tcPr>
          <w:p w14:paraId="149B737A"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108" w:type="dxa"/>
          </w:tcPr>
          <w:p w14:paraId="2AA9D84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6.565.846</w:t>
            </w:r>
          </w:p>
        </w:tc>
      </w:tr>
      <w:tr w:rsidR="00E440CE" w:rsidRPr="00ED7B99" w14:paraId="65D9CEE0"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1D13D1AB"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Ukupno utrošeno/opravdana</w:t>
            </w:r>
          </w:p>
        </w:tc>
        <w:tc>
          <w:tcPr>
            <w:tcW w:w="988" w:type="dxa"/>
          </w:tcPr>
          <w:p w14:paraId="1C5F53C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6.601.930</w:t>
            </w:r>
          </w:p>
        </w:tc>
        <w:tc>
          <w:tcPr>
            <w:tcW w:w="1016" w:type="dxa"/>
          </w:tcPr>
          <w:p w14:paraId="101DDE2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8.676.980</w:t>
            </w:r>
          </w:p>
        </w:tc>
        <w:tc>
          <w:tcPr>
            <w:tcW w:w="1152" w:type="dxa"/>
          </w:tcPr>
          <w:p w14:paraId="64E01E0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15.525.167</w:t>
            </w:r>
          </w:p>
        </w:tc>
        <w:tc>
          <w:tcPr>
            <w:tcW w:w="1111" w:type="dxa"/>
          </w:tcPr>
          <w:p w14:paraId="04EC3A8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13.980.809</w:t>
            </w:r>
          </w:p>
        </w:tc>
        <w:tc>
          <w:tcPr>
            <w:tcW w:w="988" w:type="dxa"/>
          </w:tcPr>
          <w:p w14:paraId="758CF91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0</w:t>
            </w:r>
          </w:p>
        </w:tc>
        <w:tc>
          <w:tcPr>
            <w:tcW w:w="1108" w:type="dxa"/>
          </w:tcPr>
          <w:p w14:paraId="3C3C06B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44.784.886</w:t>
            </w:r>
          </w:p>
        </w:tc>
      </w:tr>
      <w:tr w:rsidR="00E440CE" w:rsidRPr="00ED7B99" w14:paraId="54431D09"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6FE25D03"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Neutrošena sredstva</w:t>
            </w:r>
          </w:p>
        </w:tc>
        <w:tc>
          <w:tcPr>
            <w:tcW w:w="988" w:type="dxa"/>
          </w:tcPr>
          <w:p w14:paraId="5A171CA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207.147</w:t>
            </w:r>
          </w:p>
        </w:tc>
        <w:tc>
          <w:tcPr>
            <w:tcW w:w="1016" w:type="dxa"/>
          </w:tcPr>
          <w:p w14:paraId="43B3D19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264.144</w:t>
            </w:r>
          </w:p>
        </w:tc>
        <w:tc>
          <w:tcPr>
            <w:tcW w:w="1152" w:type="dxa"/>
          </w:tcPr>
          <w:p w14:paraId="647B94C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1.509.231</w:t>
            </w:r>
          </w:p>
        </w:tc>
        <w:tc>
          <w:tcPr>
            <w:tcW w:w="1111" w:type="dxa"/>
          </w:tcPr>
          <w:p w14:paraId="7407356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578.024</w:t>
            </w:r>
          </w:p>
        </w:tc>
        <w:tc>
          <w:tcPr>
            <w:tcW w:w="988" w:type="dxa"/>
          </w:tcPr>
          <w:p w14:paraId="5397FF6A"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108" w:type="dxa"/>
          </w:tcPr>
          <w:p w14:paraId="092E677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2.558.546</w:t>
            </w:r>
          </w:p>
        </w:tc>
      </w:tr>
      <w:tr w:rsidR="00E440CE" w:rsidRPr="00ED7B99" w14:paraId="7E1DFAE9"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2DBDCAF2"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color w:val="000000"/>
                <w:sz w:val="18"/>
                <w:szCs w:val="18"/>
              </w:rPr>
              <w:t>Ukupna sredstva</w:t>
            </w:r>
          </w:p>
        </w:tc>
        <w:tc>
          <w:tcPr>
            <w:tcW w:w="988" w:type="dxa"/>
          </w:tcPr>
          <w:p w14:paraId="651F763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6.809.077</w:t>
            </w:r>
          </w:p>
        </w:tc>
        <w:tc>
          <w:tcPr>
            <w:tcW w:w="1016" w:type="dxa"/>
          </w:tcPr>
          <w:p w14:paraId="0307D13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8.941.124</w:t>
            </w:r>
          </w:p>
        </w:tc>
        <w:tc>
          <w:tcPr>
            <w:tcW w:w="1152" w:type="dxa"/>
          </w:tcPr>
          <w:p w14:paraId="5DF1D04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17.034.398</w:t>
            </w:r>
          </w:p>
        </w:tc>
        <w:tc>
          <w:tcPr>
            <w:tcW w:w="1111" w:type="dxa"/>
          </w:tcPr>
          <w:p w14:paraId="20D0B89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14.558.833</w:t>
            </w:r>
          </w:p>
        </w:tc>
        <w:tc>
          <w:tcPr>
            <w:tcW w:w="988" w:type="dxa"/>
          </w:tcPr>
          <w:p w14:paraId="0247816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0</w:t>
            </w:r>
          </w:p>
        </w:tc>
        <w:tc>
          <w:tcPr>
            <w:tcW w:w="1108" w:type="dxa"/>
          </w:tcPr>
          <w:p w14:paraId="0C3C3DD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18"/>
                <w:szCs w:val="18"/>
              </w:rPr>
            </w:pPr>
            <w:r w:rsidRPr="00ED7B99">
              <w:rPr>
                <w:rFonts w:asciiTheme="majorHAnsi" w:hAnsiTheme="majorHAnsi" w:cstheme="majorHAnsi"/>
                <w:b/>
                <w:color w:val="000000"/>
                <w:sz w:val="18"/>
                <w:szCs w:val="18"/>
              </w:rPr>
              <w:t>47.343.432</w:t>
            </w:r>
          </w:p>
        </w:tc>
      </w:tr>
      <w:tr w:rsidR="00E440CE" w:rsidRPr="00ED7B99" w14:paraId="1D562E88"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5F2FB33F"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 </w:t>
            </w:r>
          </w:p>
        </w:tc>
        <w:tc>
          <w:tcPr>
            <w:tcW w:w="988" w:type="dxa"/>
          </w:tcPr>
          <w:p w14:paraId="43FC571F"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016" w:type="dxa"/>
          </w:tcPr>
          <w:p w14:paraId="42A714EE"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152" w:type="dxa"/>
          </w:tcPr>
          <w:p w14:paraId="1EDAD20B"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111" w:type="dxa"/>
          </w:tcPr>
          <w:p w14:paraId="4BB8B2D5"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988" w:type="dxa"/>
          </w:tcPr>
          <w:p w14:paraId="07B1701F"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c>
          <w:tcPr>
            <w:tcW w:w="1108" w:type="dxa"/>
          </w:tcPr>
          <w:p w14:paraId="3D270777"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 </w:t>
            </w:r>
          </w:p>
        </w:tc>
      </w:tr>
      <w:tr w:rsidR="00E440CE" w:rsidRPr="00ED7B99" w14:paraId="5BF08D15"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0E43EA21"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Ukupno utrošeno</w:t>
            </w:r>
          </w:p>
        </w:tc>
        <w:tc>
          <w:tcPr>
            <w:tcW w:w="988" w:type="dxa"/>
          </w:tcPr>
          <w:p w14:paraId="5E79BBD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97,0%</w:t>
            </w:r>
          </w:p>
        </w:tc>
        <w:tc>
          <w:tcPr>
            <w:tcW w:w="1016" w:type="dxa"/>
          </w:tcPr>
          <w:p w14:paraId="7F282EB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97,0%</w:t>
            </w:r>
          </w:p>
        </w:tc>
        <w:tc>
          <w:tcPr>
            <w:tcW w:w="1152" w:type="dxa"/>
          </w:tcPr>
          <w:p w14:paraId="4395669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91,1%</w:t>
            </w:r>
          </w:p>
        </w:tc>
        <w:tc>
          <w:tcPr>
            <w:tcW w:w="1111" w:type="dxa"/>
          </w:tcPr>
          <w:p w14:paraId="558CB02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96,0%</w:t>
            </w:r>
          </w:p>
        </w:tc>
        <w:tc>
          <w:tcPr>
            <w:tcW w:w="988" w:type="dxa"/>
          </w:tcPr>
          <w:p w14:paraId="114E9C17" w14:textId="77777777" w:rsidR="00E440CE" w:rsidRPr="00ED7B99" w:rsidRDefault="00E440C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108" w:type="dxa"/>
          </w:tcPr>
          <w:p w14:paraId="0FC6E29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94,6%</w:t>
            </w:r>
          </w:p>
        </w:tc>
      </w:tr>
      <w:tr w:rsidR="00E440CE" w:rsidRPr="00ED7B99" w14:paraId="20032C2D" w14:textId="77777777" w:rsidTr="00E440CE">
        <w:trPr>
          <w:trHeight w:val="300"/>
        </w:trPr>
        <w:tc>
          <w:tcPr>
            <w:cnfStyle w:val="001000000000" w:firstRow="0" w:lastRow="0" w:firstColumn="1" w:lastColumn="0" w:oddVBand="0" w:evenVBand="0" w:oddHBand="0" w:evenHBand="0" w:firstRowFirstColumn="0" w:firstRowLastColumn="0" w:lastRowFirstColumn="0" w:lastRowLastColumn="0"/>
            <w:tcW w:w="2709" w:type="dxa"/>
          </w:tcPr>
          <w:p w14:paraId="3661359F" w14:textId="77777777" w:rsidR="00E440CE" w:rsidRPr="00ED7B99" w:rsidRDefault="003422A9">
            <w:pPr>
              <w:rPr>
                <w:rFonts w:asciiTheme="majorHAnsi" w:hAnsiTheme="majorHAnsi" w:cstheme="majorHAnsi"/>
                <w:color w:val="000000"/>
                <w:sz w:val="18"/>
                <w:szCs w:val="18"/>
              </w:rPr>
            </w:pPr>
            <w:r w:rsidRPr="00ED7B99">
              <w:rPr>
                <w:rFonts w:asciiTheme="majorHAnsi" w:hAnsiTheme="majorHAnsi" w:cstheme="majorHAnsi"/>
                <w:b w:val="0"/>
                <w:color w:val="000000"/>
                <w:sz w:val="18"/>
                <w:szCs w:val="18"/>
              </w:rPr>
              <w:t>Neutrošena sredstva</w:t>
            </w:r>
          </w:p>
        </w:tc>
        <w:tc>
          <w:tcPr>
            <w:tcW w:w="988" w:type="dxa"/>
          </w:tcPr>
          <w:p w14:paraId="4A52EA2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3,0%</w:t>
            </w:r>
          </w:p>
        </w:tc>
        <w:tc>
          <w:tcPr>
            <w:tcW w:w="1016" w:type="dxa"/>
          </w:tcPr>
          <w:p w14:paraId="69EEC33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3,0%</w:t>
            </w:r>
          </w:p>
        </w:tc>
        <w:tc>
          <w:tcPr>
            <w:tcW w:w="1152" w:type="dxa"/>
          </w:tcPr>
          <w:p w14:paraId="07C52E3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8,9%</w:t>
            </w:r>
          </w:p>
        </w:tc>
        <w:tc>
          <w:tcPr>
            <w:tcW w:w="1111" w:type="dxa"/>
          </w:tcPr>
          <w:p w14:paraId="328BB8A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4,0%</w:t>
            </w:r>
          </w:p>
        </w:tc>
        <w:tc>
          <w:tcPr>
            <w:tcW w:w="988" w:type="dxa"/>
          </w:tcPr>
          <w:p w14:paraId="35376DA8" w14:textId="77777777" w:rsidR="00E440CE" w:rsidRPr="00ED7B99" w:rsidRDefault="00E440C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p>
        </w:tc>
        <w:tc>
          <w:tcPr>
            <w:tcW w:w="1108" w:type="dxa"/>
          </w:tcPr>
          <w:p w14:paraId="2A76861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8"/>
                <w:szCs w:val="18"/>
              </w:rPr>
            </w:pPr>
            <w:r w:rsidRPr="00ED7B99">
              <w:rPr>
                <w:rFonts w:asciiTheme="majorHAnsi" w:hAnsiTheme="majorHAnsi" w:cstheme="majorHAnsi"/>
                <w:color w:val="000000"/>
                <w:sz w:val="18"/>
                <w:szCs w:val="18"/>
              </w:rPr>
              <w:t>5,4%</w:t>
            </w:r>
          </w:p>
        </w:tc>
      </w:tr>
      <w:tr w:rsidR="00E440CE" w:rsidRPr="00A63412" w14:paraId="1D09A96E" w14:textId="77777777" w:rsidTr="00A63412">
        <w:trPr>
          <w:trHeight w:val="300"/>
        </w:trPr>
        <w:tc>
          <w:tcPr>
            <w:cnfStyle w:val="001000000000" w:firstRow="0" w:lastRow="0" w:firstColumn="1" w:lastColumn="0" w:oddVBand="0" w:evenVBand="0" w:oddHBand="0" w:evenHBand="0" w:firstRowFirstColumn="0" w:firstRowLastColumn="0" w:lastRowFirstColumn="0" w:lastRowLastColumn="0"/>
            <w:tcW w:w="2709" w:type="dxa"/>
            <w:shd w:val="clear" w:color="auto" w:fill="BCD9DE" w:themeFill="accent5" w:themeFillTint="66"/>
          </w:tcPr>
          <w:p w14:paraId="34C26B94" w14:textId="77777777" w:rsidR="00E440CE" w:rsidRPr="00A63412" w:rsidRDefault="003422A9">
            <w:pPr>
              <w:rPr>
                <w:rFonts w:asciiTheme="majorHAnsi" w:hAnsiTheme="majorHAnsi" w:cstheme="majorHAnsi"/>
                <w:bCs/>
                <w:color w:val="000000"/>
                <w:sz w:val="18"/>
                <w:szCs w:val="18"/>
              </w:rPr>
            </w:pPr>
            <w:r w:rsidRPr="00A63412">
              <w:rPr>
                <w:rFonts w:asciiTheme="majorHAnsi" w:hAnsiTheme="majorHAnsi" w:cstheme="majorHAnsi"/>
                <w:bCs/>
                <w:color w:val="000000"/>
                <w:sz w:val="18"/>
                <w:szCs w:val="18"/>
              </w:rPr>
              <w:t>Ukupna sredstva</w:t>
            </w:r>
          </w:p>
        </w:tc>
        <w:tc>
          <w:tcPr>
            <w:tcW w:w="988" w:type="dxa"/>
            <w:shd w:val="clear" w:color="auto" w:fill="BCD9DE" w:themeFill="accent5" w:themeFillTint="66"/>
          </w:tcPr>
          <w:p w14:paraId="21A5CD35"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100,0%</w:t>
            </w:r>
          </w:p>
        </w:tc>
        <w:tc>
          <w:tcPr>
            <w:tcW w:w="1016" w:type="dxa"/>
            <w:shd w:val="clear" w:color="auto" w:fill="BCD9DE" w:themeFill="accent5" w:themeFillTint="66"/>
          </w:tcPr>
          <w:p w14:paraId="70BE25D2"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100,0%</w:t>
            </w:r>
          </w:p>
        </w:tc>
        <w:tc>
          <w:tcPr>
            <w:tcW w:w="1152" w:type="dxa"/>
            <w:shd w:val="clear" w:color="auto" w:fill="BCD9DE" w:themeFill="accent5" w:themeFillTint="66"/>
          </w:tcPr>
          <w:p w14:paraId="49BDD2A3"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100,0%</w:t>
            </w:r>
          </w:p>
        </w:tc>
        <w:tc>
          <w:tcPr>
            <w:tcW w:w="1111" w:type="dxa"/>
            <w:shd w:val="clear" w:color="auto" w:fill="BCD9DE" w:themeFill="accent5" w:themeFillTint="66"/>
          </w:tcPr>
          <w:p w14:paraId="1246A00B"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100,0%</w:t>
            </w:r>
          </w:p>
        </w:tc>
        <w:tc>
          <w:tcPr>
            <w:tcW w:w="988" w:type="dxa"/>
            <w:shd w:val="clear" w:color="auto" w:fill="BCD9DE" w:themeFill="accent5" w:themeFillTint="66"/>
          </w:tcPr>
          <w:p w14:paraId="3A767DE5" w14:textId="77777777" w:rsidR="00E440CE" w:rsidRPr="00A63412" w:rsidRDefault="00E440C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p>
        </w:tc>
        <w:tc>
          <w:tcPr>
            <w:tcW w:w="1108" w:type="dxa"/>
            <w:shd w:val="clear" w:color="auto" w:fill="BCD9DE" w:themeFill="accent5" w:themeFillTint="66"/>
          </w:tcPr>
          <w:p w14:paraId="6EC880FF" w14:textId="77777777" w:rsidR="00E440CE" w:rsidRPr="00A63412"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18"/>
                <w:szCs w:val="18"/>
              </w:rPr>
            </w:pPr>
            <w:r w:rsidRPr="00A63412">
              <w:rPr>
                <w:rFonts w:asciiTheme="majorHAnsi" w:hAnsiTheme="majorHAnsi" w:cstheme="majorHAnsi"/>
                <w:b/>
                <w:bCs/>
                <w:color w:val="000000"/>
                <w:sz w:val="18"/>
                <w:szCs w:val="18"/>
              </w:rPr>
              <w:t>100,0%</w:t>
            </w:r>
          </w:p>
        </w:tc>
      </w:tr>
    </w:tbl>
    <w:p w14:paraId="16B59EEE" w14:textId="77777777" w:rsidR="00E440CE" w:rsidRPr="00ED7B99" w:rsidRDefault="00E440CE">
      <w:pPr>
        <w:jc w:val="both"/>
        <w:rPr>
          <w:rFonts w:asciiTheme="majorHAnsi" w:hAnsiTheme="majorHAnsi" w:cstheme="majorHAnsi"/>
        </w:rPr>
      </w:pPr>
    </w:p>
    <w:p w14:paraId="509ECC41"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Federalno ministarstvo, razvoja poduzetništva i obrta prati realizaciju utroška sredstava po kantonima/županijama. U periodu 2016-2019. godina najveći broj aplikacija došao je od subjekata male privrede iz HNK/Ž, zatim Kantona Sarajevo, Unsko-sanskog kantona, Srednjobosanskog kantona, a najamni iz Posavskog kantona i Kantona 10. Promatrano u relativnim pokazateljima najviše projekata je odobreno subjektima male privrede iz Zapadno-hercegovačkog kantona, Unsko-sanskog kantona, Zeničko-dobojskog kantona i Hercegovačko-neretvanskog kantona.</w:t>
      </w:r>
    </w:p>
    <w:p w14:paraId="770EB180"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Od ukupno odobrenih sredstava FMRPO koja su iznosila 25,1 milion KM najviše sredstava je odobreno korisnicima iz Ze-DO kantona 5,5 mil. KM ili 22%, zatim iz HNK/Ž  4,9 mil. KM ili 19,5% i TK 3,7 mil KM ili 14,6%. Najmanje je odobreno korisnicima iz BPK svega 126.484 KM ili 0,5%, zatim iz  Posavskog kantona 543.217 KM ili 2,2%.</w:t>
      </w:r>
    </w:p>
    <w:p w14:paraId="09BC7E2E" w14:textId="15AC290E" w:rsidR="00E440CE" w:rsidRDefault="003422A9">
      <w:pPr>
        <w:jc w:val="both"/>
        <w:rPr>
          <w:rFonts w:asciiTheme="majorHAnsi" w:hAnsiTheme="majorHAnsi" w:cstheme="majorHAnsi"/>
        </w:rPr>
      </w:pPr>
      <w:r w:rsidRPr="00ED7B99">
        <w:rPr>
          <w:rFonts w:asciiTheme="majorHAnsi" w:hAnsiTheme="majorHAnsi" w:cstheme="majorHAnsi"/>
        </w:rPr>
        <w:t>Iznosi  odobrenih sredstava ukazuju na neujednačenu raspodjelu po kantonima/županijama, a razlozi neuravnoteženosti mogu i jesu objektivne i subjektivne prirode. Nakon što pokazatelje ukupno odobrenih sredstava dovedemo u odnos sa brojem subjekata male privrede, vjerojatno ćemo dobiti potpuniji odgovor neravnomjerne raspodjele.</w:t>
      </w:r>
    </w:p>
    <w:p w14:paraId="3F8833B7" w14:textId="36502112" w:rsidR="00A63412" w:rsidRDefault="00A63412" w:rsidP="00A63412">
      <w:pPr>
        <w:pStyle w:val="Caption"/>
        <w:keepNext/>
      </w:pPr>
      <w:r>
        <w:t xml:space="preserve">Tabela </w:t>
      </w:r>
      <w:fldSimple w:instr=" SEQ Tabela \* ARABIC ">
        <w:r w:rsidR="00DB6BC6">
          <w:rPr>
            <w:noProof/>
          </w:rPr>
          <w:t>25</w:t>
        </w:r>
      </w:fldSimple>
      <w:r>
        <w:t xml:space="preserve">. </w:t>
      </w:r>
      <w:r w:rsidRPr="00EE7938">
        <w:t>Pregled prostrone rasprostranjenosti korisnika Tekućih trasnfera FMRPO po kantonima</w:t>
      </w:r>
    </w:p>
    <w:tbl>
      <w:tblPr>
        <w:tblStyle w:val="afd"/>
        <w:tblW w:w="9350" w:type="dxa"/>
        <w:tblBorders>
          <w:top w:val="single" w:sz="4" w:space="0" w:color="B5C1DF"/>
          <w:left w:val="single" w:sz="4" w:space="0" w:color="B5C1DF"/>
          <w:bottom w:val="single" w:sz="4" w:space="0" w:color="B5C1DF"/>
          <w:right w:val="single" w:sz="4" w:space="0" w:color="B5C1DF"/>
          <w:insideH w:val="single" w:sz="4" w:space="0" w:color="B5C1DF"/>
          <w:insideV w:val="single" w:sz="4" w:space="0" w:color="B5C1DF"/>
        </w:tblBorders>
        <w:tblLayout w:type="fixed"/>
        <w:tblLook w:val="04A0" w:firstRow="1" w:lastRow="0" w:firstColumn="1" w:lastColumn="0" w:noHBand="0" w:noVBand="1"/>
      </w:tblPr>
      <w:tblGrid>
        <w:gridCol w:w="379"/>
        <w:gridCol w:w="1382"/>
        <w:gridCol w:w="865"/>
        <w:gridCol w:w="888"/>
        <w:gridCol w:w="889"/>
        <w:gridCol w:w="889"/>
        <w:gridCol w:w="581"/>
        <w:gridCol w:w="968"/>
        <w:gridCol w:w="695"/>
        <w:gridCol w:w="159"/>
        <w:gridCol w:w="429"/>
        <w:gridCol w:w="612"/>
        <w:gridCol w:w="614"/>
      </w:tblGrid>
      <w:tr w:rsidR="00E440CE" w:rsidRPr="00ED7B99" w14:paraId="55EE21FF" w14:textId="77777777" w:rsidTr="00A634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 w:type="dxa"/>
            <w:shd w:val="clear" w:color="auto" w:fill="BCD9DE" w:themeFill="accent5" w:themeFillTint="66"/>
          </w:tcPr>
          <w:p w14:paraId="28853798" w14:textId="77777777" w:rsidR="00E440CE" w:rsidRPr="00ED7B99" w:rsidRDefault="003422A9">
            <w:pPr>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1382" w:type="dxa"/>
            <w:shd w:val="clear" w:color="auto" w:fill="BCD9DE" w:themeFill="accent5" w:themeFillTint="66"/>
          </w:tcPr>
          <w:p w14:paraId="19B29CCF" w14:textId="77777777" w:rsidR="00E440CE" w:rsidRPr="00ED7B99" w:rsidRDefault="003422A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5934" w:type="dxa"/>
            <w:gridSpan w:val="8"/>
            <w:shd w:val="clear" w:color="auto" w:fill="BCD9DE" w:themeFill="accent5" w:themeFillTint="66"/>
          </w:tcPr>
          <w:p w14:paraId="74367BD3" w14:textId="77777777" w:rsidR="00E440CE" w:rsidRPr="00ED7B99"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Sredstva  "Tekućeg transfera"</w:t>
            </w:r>
          </w:p>
        </w:tc>
        <w:tc>
          <w:tcPr>
            <w:tcW w:w="1655" w:type="dxa"/>
            <w:gridSpan w:val="3"/>
            <w:shd w:val="clear" w:color="auto" w:fill="BCD9DE" w:themeFill="accent5" w:themeFillTint="66"/>
          </w:tcPr>
          <w:p w14:paraId="69394A8E" w14:textId="77777777" w:rsidR="00E440CE" w:rsidRPr="00ED7B99" w:rsidRDefault="003422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Projekti</w:t>
            </w:r>
          </w:p>
        </w:tc>
      </w:tr>
      <w:tr w:rsidR="00E440CE" w:rsidRPr="00ED7B99" w14:paraId="314A7B13"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2B9B0982" w14:textId="77777777" w:rsidR="00E440CE" w:rsidRPr="00ED7B99" w:rsidRDefault="00E440CE">
            <w:pPr>
              <w:jc w:val="center"/>
              <w:rPr>
                <w:rFonts w:asciiTheme="majorHAnsi" w:hAnsiTheme="majorHAnsi" w:cstheme="majorHAnsi"/>
                <w:color w:val="000000"/>
                <w:sz w:val="16"/>
                <w:szCs w:val="16"/>
              </w:rPr>
            </w:pPr>
          </w:p>
          <w:p w14:paraId="75C879D8" w14:textId="77777777" w:rsidR="00E440CE" w:rsidRPr="00ED7B99" w:rsidRDefault="00E440CE">
            <w:pPr>
              <w:jc w:val="center"/>
              <w:rPr>
                <w:rFonts w:asciiTheme="majorHAnsi" w:hAnsiTheme="majorHAnsi" w:cstheme="majorHAnsi"/>
                <w:color w:val="000000"/>
                <w:sz w:val="16"/>
                <w:szCs w:val="16"/>
              </w:rPr>
            </w:pPr>
          </w:p>
        </w:tc>
        <w:tc>
          <w:tcPr>
            <w:tcW w:w="1382" w:type="dxa"/>
          </w:tcPr>
          <w:p w14:paraId="26F74776"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Kanton/Županija</w:t>
            </w:r>
          </w:p>
        </w:tc>
        <w:tc>
          <w:tcPr>
            <w:tcW w:w="865" w:type="dxa"/>
          </w:tcPr>
          <w:p w14:paraId="777D343C"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2016.</w:t>
            </w:r>
          </w:p>
        </w:tc>
        <w:tc>
          <w:tcPr>
            <w:tcW w:w="888" w:type="dxa"/>
          </w:tcPr>
          <w:p w14:paraId="1949CEBF"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2017.</w:t>
            </w:r>
          </w:p>
        </w:tc>
        <w:tc>
          <w:tcPr>
            <w:tcW w:w="889" w:type="dxa"/>
          </w:tcPr>
          <w:p w14:paraId="3F8D2D0F"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2018.</w:t>
            </w:r>
          </w:p>
        </w:tc>
        <w:tc>
          <w:tcPr>
            <w:tcW w:w="889" w:type="dxa"/>
          </w:tcPr>
          <w:p w14:paraId="260670B7"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2019.</w:t>
            </w:r>
          </w:p>
        </w:tc>
        <w:tc>
          <w:tcPr>
            <w:tcW w:w="581" w:type="dxa"/>
          </w:tcPr>
          <w:p w14:paraId="601EF545"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2021.</w:t>
            </w:r>
          </w:p>
        </w:tc>
        <w:tc>
          <w:tcPr>
            <w:tcW w:w="968" w:type="dxa"/>
          </w:tcPr>
          <w:p w14:paraId="1EB43B46"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Ukupno</w:t>
            </w:r>
          </w:p>
        </w:tc>
        <w:tc>
          <w:tcPr>
            <w:tcW w:w="695" w:type="dxa"/>
          </w:tcPr>
          <w:p w14:paraId="0352B2CB"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Učešće u %</w:t>
            </w:r>
          </w:p>
        </w:tc>
        <w:tc>
          <w:tcPr>
            <w:tcW w:w="588" w:type="dxa"/>
            <w:gridSpan w:val="2"/>
          </w:tcPr>
          <w:p w14:paraId="16A1B85E"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Apli</w:t>
            </w:r>
          </w:p>
          <w:p w14:paraId="552A9E7B"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kacije</w:t>
            </w:r>
          </w:p>
        </w:tc>
        <w:tc>
          <w:tcPr>
            <w:tcW w:w="612" w:type="dxa"/>
          </w:tcPr>
          <w:p w14:paraId="5F0EA53B"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Odo</w:t>
            </w:r>
          </w:p>
          <w:p w14:paraId="4FE5AC63"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breno</w:t>
            </w:r>
          </w:p>
        </w:tc>
        <w:tc>
          <w:tcPr>
            <w:tcW w:w="614" w:type="dxa"/>
          </w:tcPr>
          <w:p w14:paraId="391337A5" w14:textId="77777777" w:rsidR="00E440CE" w:rsidRPr="00ED7B99" w:rsidRDefault="003422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w:t>
            </w:r>
          </w:p>
        </w:tc>
      </w:tr>
      <w:tr w:rsidR="00E440CE" w:rsidRPr="00ED7B99" w14:paraId="71B7F0A1"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11606258"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t>1</w:t>
            </w:r>
          </w:p>
        </w:tc>
        <w:tc>
          <w:tcPr>
            <w:tcW w:w="1382" w:type="dxa"/>
          </w:tcPr>
          <w:p w14:paraId="39A986A9"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Bosansko-podrinjski</w:t>
            </w:r>
          </w:p>
        </w:tc>
        <w:tc>
          <w:tcPr>
            <w:tcW w:w="865" w:type="dxa"/>
          </w:tcPr>
          <w:p w14:paraId="379FE02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39.232</w:t>
            </w:r>
          </w:p>
        </w:tc>
        <w:tc>
          <w:tcPr>
            <w:tcW w:w="888" w:type="dxa"/>
          </w:tcPr>
          <w:p w14:paraId="0B6815F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28.844</w:t>
            </w:r>
          </w:p>
        </w:tc>
        <w:tc>
          <w:tcPr>
            <w:tcW w:w="889" w:type="dxa"/>
          </w:tcPr>
          <w:p w14:paraId="331E47C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29.408</w:t>
            </w:r>
          </w:p>
        </w:tc>
        <w:tc>
          <w:tcPr>
            <w:tcW w:w="889" w:type="dxa"/>
          </w:tcPr>
          <w:p w14:paraId="2BB4112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29.000</w:t>
            </w:r>
          </w:p>
        </w:tc>
        <w:tc>
          <w:tcPr>
            <w:tcW w:w="581" w:type="dxa"/>
          </w:tcPr>
          <w:p w14:paraId="3602F509"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2A7F3B6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126.484</w:t>
            </w:r>
          </w:p>
        </w:tc>
        <w:tc>
          <w:tcPr>
            <w:tcW w:w="695" w:type="dxa"/>
          </w:tcPr>
          <w:p w14:paraId="6E15BB4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0,5%</w:t>
            </w:r>
          </w:p>
        </w:tc>
        <w:tc>
          <w:tcPr>
            <w:tcW w:w="588" w:type="dxa"/>
            <w:gridSpan w:val="2"/>
          </w:tcPr>
          <w:p w14:paraId="52BF424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117</w:t>
            </w:r>
          </w:p>
        </w:tc>
        <w:tc>
          <w:tcPr>
            <w:tcW w:w="612" w:type="dxa"/>
          </w:tcPr>
          <w:p w14:paraId="0E5D83F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40</w:t>
            </w:r>
          </w:p>
        </w:tc>
        <w:tc>
          <w:tcPr>
            <w:tcW w:w="614" w:type="dxa"/>
          </w:tcPr>
          <w:p w14:paraId="349C781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34,2%</w:t>
            </w:r>
          </w:p>
        </w:tc>
      </w:tr>
      <w:tr w:rsidR="00E440CE" w:rsidRPr="00ED7B99" w14:paraId="7D911199"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38974E5E"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t>2</w:t>
            </w:r>
          </w:p>
        </w:tc>
        <w:tc>
          <w:tcPr>
            <w:tcW w:w="1382" w:type="dxa"/>
          </w:tcPr>
          <w:p w14:paraId="1FA64BFC"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Hercegovačko-neretvanski</w:t>
            </w:r>
          </w:p>
        </w:tc>
        <w:tc>
          <w:tcPr>
            <w:tcW w:w="865" w:type="dxa"/>
          </w:tcPr>
          <w:p w14:paraId="49BDC23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662.974</w:t>
            </w:r>
          </w:p>
        </w:tc>
        <w:tc>
          <w:tcPr>
            <w:tcW w:w="888" w:type="dxa"/>
          </w:tcPr>
          <w:p w14:paraId="0FD160C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1.041.027</w:t>
            </w:r>
          </w:p>
        </w:tc>
        <w:tc>
          <w:tcPr>
            <w:tcW w:w="889" w:type="dxa"/>
          </w:tcPr>
          <w:p w14:paraId="6E7A51C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1.555.126</w:t>
            </w:r>
          </w:p>
        </w:tc>
        <w:tc>
          <w:tcPr>
            <w:tcW w:w="889" w:type="dxa"/>
          </w:tcPr>
          <w:p w14:paraId="659F8AC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1.628.033</w:t>
            </w:r>
          </w:p>
        </w:tc>
        <w:tc>
          <w:tcPr>
            <w:tcW w:w="581" w:type="dxa"/>
          </w:tcPr>
          <w:p w14:paraId="349B74D2"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4ADD5A2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4.887.160</w:t>
            </w:r>
          </w:p>
        </w:tc>
        <w:tc>
          <w:tcPr>
            <w:tcW w:w="695" w:type="dxa"/>
          </w:tcPr>
          <w:p w14:paraId="28D971E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19,5%</w:t>
            </w:r>
          </w:p>
        </w:tc>
        <w:tc>
          <w:tcPr>
            <w:tcW w:w="588" w:type="dxa"/>
            <w:gridSpan w:val="2"/>
          </w:tcPr>
          <w:p w14:paraId="38F3609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1.280</w:t>
            </w:r>
          </w:p>
        </w:tc>
        <w:tc>
          <w:tcPr>
            <w:tcW w:w="612" w:type="dxa"/>
          </w:tcPr>
          <w:p w14:paraId="6BCC769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392</w:t>
            </w:r>
          </w:p>
        </w:tc>
        <w:tc>
          <w:tcPr>
            <w:tcW w:w="614" w:type="dxa"/>
          </w:tcPr>
          <w:p w14:paraId="1DEF3A0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30,6%</w:t>
            </w:r>
          </w:p>
        </w:tc>
      </w:tr>
      <w:tr w:rsidR="00E440CE" w:rsidRPr="00ED7B99" w14:paraId="61B7E78C"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415D2799"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t>3</w:t>
            </w:r>
          </w:p>
        </w:tc>
        <w:tc>
          <w:tcPr>
            <w:tcW w:w="1382" w:type="dxa"/>
          </w:tcPr>
          <w:p w14:paraId="2DC4ECBA"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Kanton 10</w:t>
            </w:r>
          </w:p>
        </w:tc>
        <w:tc>
          <w:tcPr>
            <w:tcW w:w="865" w:type="dxa"/>
          </w:tcPr>
          <w:p w14:paraId="76BA74B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35.000</w:t>
            </w:r>
          </w:p>
        </w:tc>
        <w:tc>
          <w:tcPr>
            <w:tcW w:w="888" w:type="dxa"/>
          </w:tcPr>
          <w:p w14:paraId="6A1D2FF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234.381</w:t>
            </w:r>
          </w:p>
        </w:tc>
        <w:tc>
          <w:tcPr>
            <w:tcW w:w="889" w:type="dxa"/>
          </w:tcPr>
          <w:p w14:paraId="7CC6885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336.454</w:t>
            </w:r>
          </w:p>
        </w:tc>
        <w:tc>
          <w:tcPr>
            <w:tcW w:w="889" w:type="dxa"/>
          </w:tcPr>
          <w:p w14:paraId="676A9CB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19.000</w:t>
            </w:r>
          </w:p>
        </w:tc>
        <w:tc>
          <w:tcPr>
            <w:tcW w:w="581" w:type="dxa"/>
          </w:tcPr>
          <w:p w14:paraId="000A3FFF"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2445B94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624.835</w:t>
            </w:r>
          </w:p>
        </w:tc>
        <w:tc>
          <w:tcPr>
            <w:tcW w:w="695" w:type="dxa"/>
          </w:tcPr>
          <w:p w14:paraId="21E0E57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2,5%</w:t>
            </w:r>
          </w:p>
        </w:tc>
        <w:tc>
          <w:tcPr>
            <w:tcW w:w="588" w:type="dxa"/>
            <w:gridSpan w:val="2"/>
          </w:tcPr>
          <w:p w14:paraId="4BD0724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64</w:t>
            </w:r>
          </w:p>
        </w:tc>
        <w:tc>
          <w:tcPr>
            <w:tcW w:w="612" w:type="dxa"/>
          </w:tcPr>
          <w:p w14:paraId="16BC07E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16</w:t>
            </w:r>
          </w:p>
        </w:tc>
        <w:tc>
          <w:tcPr>
            <w:tcW w:w="614" w:type="dxa"/>
          </w:tcPr>
          <w:p w14:paraId="4687C5B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25,0%</w:t>
            </w:r>
          </w:p>
        </w:tc>
      </w:tr>
      <w:tr w:rsidR="00E440CE" w:rsidRPr="00ED7B99" w14:paraId="12B5ADB6"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673AD44D"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lastRenderedPageBreak/>
              <w:t>4</w:t>
            </w:r>
          </w:p>
        </w:tc>
        <w:tc>
          <w:tcPr>
            <w:tcW w:w="1382" w:type="dxa"/>
          </w:tcPr>
          <w:p w14:paraId="56EF8422"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Posavski</w:t>
            </w:r>
          </w:p>
        </w:tc>
        <w:tc>
          <w:tcPr>
            <w:tcW w:w="865" w:type="dxa"/>
          </w:tcPr>
          <w:p w14:paraId="3DACF75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45.000</w:t>
            </w:r>
          </w:p>
        </w:tc>
        <w:tc>
          <w:tcPr>
            <w:tcW w:w="888" w:type="dxa"/>
          </w:tcPr>
          <w:p w14:paraId="2F99F9D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88.000</w:t>
            </w:r>
          </w:p>
        </w:tc>
        <w:tc>
          <w:tcPr>
            <w:tcW w:w="889" w:type="dxa"/>
          </w:tcPr>
          <w:p w14:paraId="41132F4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6.000</w:t>
            </w:r>
          </w:p>
        </w:tc>
        <w:tc>
          <w:tcPr>
            <w:tcW w:w="889" w:type="dxa"/>
          </w:tcPr>
          <w:p w14:paraId="180AC0F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404.217</w:t>
            </w:r>
          </w:p>
        </w:tc>
        <w:tc>
          <w:tcPr>
            <w:tcW w:w="581" w:type="dxa"/>
          </w:tcPr>
          <w:p w14:paraId="6F9A9B33"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1940E5F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543.217</w:t>
            </w:r>
          </w:p>
        </w:tc>
        <w:tc>
          <w:tcPr>
            <w:tcW w:w="695" w:type="dxa"/>
          </w:tcPr>
          <w:p w14:paraId="69C2367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2,2%</w:t>
            </w:r>
          </w:p>
        </w:tc>
        <w:tc>
          <w:tcPr>
            <w:tcW w:w="588" w:type="dxa"/>
            <w:gridSpan w:val="2"/>
          </w:tcPr>
          <w:p w14:paraId="5AB0BDA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57</w:t>
            </w:r>
          </w:p>
        </w:tc>
        <w:tc>
          <w:tcPr>
            <w:tcW w:w="612" w:type="dxa"/>
          </w:tcPr>
          <w:p w14:paraId="4969DAD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13</w:t>
            </w:r>
          </w:p>
        </w:tc>
        <w:tc>
          <w:tcPr>
            <w:tcW w:w="614" w:type="dxa"/>
          </w:tcPr>
          <w:p w14:paraId="7CFD0BA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22,8%</w:t>
            </w:r>
          </w:p>
        </w:tc>
      </w:tr>
      <w:tr w:rsidR="00E440CE" w:rsidRPr="00ED7B99" w14:paraId="587FE3B0"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5ED5EC11"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t>5</w:t>
            </w:r>
          </w:p>
        </w:tc>
        <w:tc>
          <w:tcPr>
            <w:tcW w:w="1382" w:type="dxa"/>
          </w:tcPr>
          <w:p w14:paraId="4FCE36EB"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Sarajevo</w:t>
            </w:r>
          </w:p>
        </w:tc>
        <w:tc>
          <w:tcPr>
            <w:tcW w:w="865" w:type="dxa"/>
          </w:tcPr>
          <w:p w14:paraId="351DC10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532.645</w:t>
            </w:r>
          </w:p>
        </w:tc>
        <w:tc>
          <w:tcPr>
            <w:tcW w:w="888" w:type="dxa"/>
          </w:tcPr>
          <w:p w14:paraId="51839D8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780.816</w:t>
            </w:r>
          </w:p>
        </w:tc>
        <w:tc>
          <w:tcPr>
            <w:tcW w:w="889" w:type="dxa"/>
          </w:tcPr>
          <w:p w14:paraId="413E6E4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435.496</w:t>
            </w:r>
          </w:p>
        </w:tc>
        <w:tc>
          <w:tcPr>
            <w:tcW w:w="889" w:type="dxa"/>
          </w:tcPr>
          <w:p w14:paraId="131867E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522.818</w:t>
            </w:r>
          </w:p>
        </w:tc>
        <w:tc>
          <w:tcPr>
            <w:tcW w:w="581" w:type="dxa"/>
          </w:tcPr>
          <w:p w14:paraId="2A574D9B"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724905B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2.271.775</w:t>
            </w:r>
          </w:p>
        </w:tc>
        <w:tc>
          <w:tcPr>
            <w:tcW w:w="695" w:type="dxa"/>
          </w:tcPr>
          <w:p w14:paraId="766DA94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9,1%</w:t>
            </w:r>
          </w:p>
        </w:tc>
        <w:tc>
          <w:tcPr>
            <w:tcW w:w="588" w:type="dxa"/>
            <w:gridSpan w:val="2"/>
          </w:tcPr>
          <w:p w14:paraId="6803FA9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822</w:t>
            </w:r>
          </w:p>
        </w:tc>
        <w:tc>
          <w:tcPr>
            <w:tcW w:w="612" w:type="dxa"/>
          </w:tcPr>
          <w:p w14:paraId="7BB2093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245</w:t>
            </w:r>
          </w:p>
        </w:tc>
        <w:tc>
          <w:tcPr>
            <w:tcW w:w="614" w:type="dxa"/>
          </w:tcPr>
          <w:p w14:paraId="781854F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29,8%</w:t>
            </w:r>
          </w:p>
        </w:tc>
      </w:tr>
      <w:tr w:rsidR="00E440CE" w:rsidRPr="00ED7B99" w14:paraId="706DBC1C"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3D4EC90E"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t>6</w:t>
            </w:r>
          </w:p>
        </w:tc>
        <w:tc>
          <w:tcPr>
            <w:tcW w:w="1382" w:type="dxa"/>
          </w:tcPr>
          <w:p w14:paraId="1283EA11"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Srednjobosanski</w:t>
            </w:r>
          </w:p>
        </w:tc>
        <w:tc>
          <w:tcPr>
            <w:tcW w:w="865" w:type="dxa"/>
          </w:tcPr>
          <w:p w14:paraId="69B748B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489.341</w:t>
            </w:r>
          </w:p>
        </w:tc>
        <w:tc>
          <w:tcPr>
            <w:tcW w:w="888" w:type="dxa"/>
          </w:tcPr>
          <w:p w14:paraId="376CA92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407.274</w:t>
            </w:r>
          </w:p>
        </w:tc>
        <w:tc>
          <w:tcPr>
            <w:tcW w:w="889" w:type="dxa"/>
          </w:tcPr>
          <w:p w14:paraId="5EA345B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1.175.358</w:t>
            </w:r>
          </w:p>
        </w:tc>
        <w:tc>
          <w:tcPr>
            <w:tcW w:w="889" w:type="dxa"/>
          </w:tcPr>
          <w:p w14:paraId="38B66EE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896.197</w:t>
            </w:r>
          </w:p>
        </w:tc>
        <w:tc>
          <w:tcPr>
            <w:tcW w:w="581" w:type="dxa"/>
          </w:tcPr>
          <w:p w14:paraId="49CA2DB9"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6C48F1D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2.968.170</w:t>
            </w:r>
          </w:p>
        </w:tc>
        <w:tc>
          <w:tcPr>
            <w:tcW w:w="695" w:type="dxa"/>
          </w:tcPr>
          <w:p w14:paraId="4571B01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11,9%</w:t>
            </w:r>
          </w:p>
        </w:tc>
        <w:tc>
          <w:tcPr>
            <w:tcW w:w="588" w:type="dxa"/>
            <w:gridSpan w:val="2"/>
          </w:tcPr>
          <w:p w14:paraId="357C97F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669</w:t>
            </w:r>
          </w:p>
        </w:tc>
        <w:tc>
          <w:tcPr>
            <w:tcW w:w="612" w:type="dxa"/>
          </w:tcPr>
          <w:p w14:paraId="07DE375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208</w:t>
            </w:r>
          </w:p>
        </w:tc>
        <w:tc>
          <w:tcPr>
            <w:tcW w:w="614" w:type="dxa"/>
          </w:tcPr>
          <w:p w14:paraId="72FD09C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31,1%</w:t>
            </w:r>
          </w:p>
        </w:tc>
      </w:tr>
      <w:tr w:rsidR="00E440CE" w:rsidRPr="00ED7B99" w14:paraId="707CF0F8"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3CD678AE"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t>7</w:t>
            </w:r>
          </w:p>
        </w:tc>
        <w:tc>
          <w:tcPr>
            <w:tcW w:w="1382" w:type="dxa"/>
          </w:tcPr>
          <w:p w14:paraId="0AE08474"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Tuzlanski</w:t>
            </w:r>
          </w:p>
        </w:tc>
        <w:tc>
          <w:tcPr>
            <w:tcW w:w="865" w:type="dxa"/>
          </w:tcPr>
          <w:p w14:paraId="6246166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560.465</w:t>
            </w:r>
          </w:p>
        </w:tc>
        <w:tc>
          <w:tcPr>
            <w:tcW w:w="888" w:type="dxa"/>
          </w:tcPr>
          <w:p w14:paraId="35D74DF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766.766</w:t>
            </w:r>
          </w:p>
        </w:tc>
        <w:tc>
          <w:tcPr>
            <w:tcW w:w="889" w:type="dxa"/>
          </w:tcPr>
          <w:p w14:paraId="1FD67B3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1.091.912</w:t>
            </w:r>
          </w:p>
        </w:tc>
        <w:tc>
          <w:tcPr>
            <w:tcW w:w="889" w:type="dxa"/>
          </w:tcPr>
          <w:p w14:paraId="02426E5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1.233.027</w:t>
            </w:r>
          </w:p>
        </w:tc>
        <w:tc>
          <w:tcPr>
            <w:tcW w:w="581" w:type="dxa"/>
          </w:tcPr>
          <w:p w14:paraId="499096CA"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4AF5954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3.652.170</w:t>
            </w:r>
          </w:p>
        </w:tc>
        <w:tc>
          <w:tcPr>
            <w:tcW w:w="695" w:type="dxa"/>
          </w:tcPr>
          <w:p w14:paraId="4A6CCA1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14,6%</w:t>
            </w:r>
          </w:p>
        </w:tc>
        <w:tc>
          <w:tcPr>
            <w:tcW w:w="588" w:type="dxa"/>
            <w:gridSpan w:val="2"/>
          </w:tcPr>
          <w:p w14:paraId="4A91B38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545</w:t>
            </w:r>
          </w:p>
        </w:tc>
        <w:tc>
          <w:tcPr>
            <w:tcW w:w="612" w:type="dxa"/>
          </w:tcPr>
          <w:p w14:paraId="52A09CA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159</w:t>
            </w:r>
          </w:p>
        </w:tc>
        <w:tc>
          <w:tcPr>
            <w:tcW w:w="614" w:type="dxa"/>
          </w:tcPr>
          <w:p w14:paraId="76A69A5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29,2%</w:t>
            </w:r>
          </w:p>
        </w:tc>
      </w:tr>
      <w:tr w:rsidR="00E440CE" w:rsidRPr="00ED7B99" w14:paraId="276E0F03"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04355ECC"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t>8</w:t>
            </w:r>
          </w:p>
        </w:tc>
        <w:tc>
          <w:tcPr>
            <w:tcW w:w="1382" w:type="dxa"/>
          </w:tcPr>
          <w:p w14:paraId="0E825F9A"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Unsko-sanski</w:t>
            </w:r>
          </w:p>
        </w:tc>
        <w:tc>
          <w:tcPr>
            <w:tcW w:w="865" w:type="dxa"/>
          </w:tcPr>
          <w:p w14:paraId="3A9A3FD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455.198</w:t>
            </w:r>
          </w:p>
        </w:tc>
        <w:tc>
          <w:tcPr>
            <w:tcW w:w="888" w:type="dxa"/>
          </w:tcPr>
          <w:p w14:paraId="4A90952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412.401</w:t>
            </w:r>
          </w:p>
        </w:tc>
        <w:tc>
          <w:tcPr>
            <w:tcW w:w="889" w:type="dxa"/>
          </w:tcPr>
          <w:p w14:paraId="27B6651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600.865</w:t>
            </w:r>
          </w:p>
        </w:tc>
        <w:tc>
          <w:tcPr>
            <w:tcW w:w="889" w:type="dxa"/>
          </w:tcPr>
          <w:p w14:paraId="1B50E31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952.375</w:t>
            </w:r>
          </w:p>
        </w:tc>
        <w:tc>
          <w:tcPr>
            <w:tcW w:w="581" w:type="dxa"/>
          </w:tcPr>
          <w:p w14:paraId="0925E5D8"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0DEF512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2.420.839</w:t>
            </w:r>
          </w:p>
        </w:tc>
        <w:tc>
          <w:tcPr>
            <w:tcW w:w="695" w:type="dxa"/>
          </w:tcPr>
          <w:p w14:paraId="310A370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9,7%</w:t>
            </w:r>
          </w:p>
        </w:tc>
        <w:tc>
          <w:tcPr>
            <w:tcW w:w="588" w:type="dxa"/>
            <w:gridSpan w:val="2"/>
          </w:tcPr>
          <w:p w14:paraId="6FED5E1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733</w:t>
            </w:r>
          </w:p>
        </w:tc>
        <w:tc>
          <w:tcPr>
            <w:tcW w:w="612" w:type="dxa"/>
          </w:tcPr>
          <w:p w14:paraId="004020D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265</w:t>
            </w:r>
          </w:p>
        </w:tc>
        <w:tc>
          <w:tcPr>
            <w:tcW w:w="614" w:type="dxa"/>
          </w:tcPr>
          <w:p w14:paraId="37392C8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36,2%</w:t>
            </w:r>
          </w:p>
        </w:tc>
      </w:tr>
      <w:tr w:rsidR="00E440CE" w:rsidRPr="00ED7B99" w14:paraId="377337A0"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4442B165"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t>9</w:t>
            </w:r>
          </w:p>
        </w:tc>
        <w:tc>
          <w:tcPr>
            <w:tcW w:w="1382" w:type="dxa"/>
          </w:tcPr>
          <w:p w14:paraId="4D9C3839"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Zapadno-hercegovački</w:t>
            </w:r>
          </w:p>
        </w:tc>
        <w:tc>
          <w:tcPr>
            <w:tcW w:w="865" w:type="dxa"/>
          </w:tcPr>
          <w:p w14:paraId="7D25B5F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290.000</w:t>
            </w:r>
          </w:p>
        </w:tc>
        <w:tc>
          <w:tcPr>
            <w:tcW w:w="888" w:type="dxa"/>
          </w:tcPr>
          <w:p w14:paraId="2AC223E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320.277</w:t>
            </w:r>
          </w:p>
        </w:tc>
        <w:tc>
          <w:tcPr>
            <w:tcW w:w="889" w:type="dxa"/>
          </w:tcPr>
          <w:p w14:paraId="74E88C9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963.914</w:t>
            </w:r>
          </w:p>
        </w:tc>
        <w:tc>
          <w:tcPr>
            <w:tcW w:w="889" w:type="dxa"/>
          </w:tcPr>
          <w:p w14:paraId="1865783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463.285</w:t>
            </w:r>
          </w:p>
        </w:tc>
        <w:tc>
          <w:tcPr>
            <w:tcW w:w="581" w:type="dxa"/>
          </w:tcPr>
          <w:p w14:paraId="07C25C75"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4661B2F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2.037.476</w:t>
            </w:r>
          </w:p>
        </w:tc>
        <w:tc>
          <w:tcPr>
            <w:tcW w:w="695" w:type="dxa"/>
          </w:tcPr>
          <w:p w14:paraId="2D1CA6D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8,1%</w:t>
            </w:r>
          </w:p>
        </w:tc>
        <w:tc>
          <w:tcPr>
            <w:tcW w:w="588" w:type="dxa"/>
            <w:gridSpan w:val="2"/>
          </w:tcPr>
          <w:p w14:paraId="3F398DE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215</w:t>
            </w:r>
          </w:p>
        </w:tc>
        <w:tc>
          <w:tcPr>
            <w:tcW w:w="612" w:type="dxa"/>
          </w:tcPr>
          <w:p w14:paraId="1E04A95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85</w:t>
            </w:r>
          </w:p>
        </w:tc>
        <w:tc>
          <w:tcPr>
            <w:tcW w:w="614" w:type="dxa"/>
          </w:tcPr>
          <w:p w14:paraId="33E01AD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39,5%</w:t>
            </w:r>
          </w:p>
        </w:tc>
      </w:tr>
      <w:tr w:rsidR="00E440CE" w:rsidRPr="00ED7B99" w14:paraId="6DD417DA" w14:textId="77777777" w:rsidTr="00E440CE">
        <w:trPr>
          <w:trHeight w:val="20"/>
        </w:trPr>
        <w:tc>
          <w:tcPr>
            <w:cnfStyle w:val="001000000000" w:firstRow="0" w:lastRow="0" w:firstColumn="1" w:lastColumn="0" w:oddVBand="0" w:evenVBand="0" w:oddHBand="0" w:evenHBand="0" w:firstRowFirstColumn="0" w:firstRowLastColumn="0" w:lastRowFirstColumn="0" w:lastRowLastColumn="0"/>
            <w:tcW w:w="379" w:type="dxa"/>
          </w:tcPr>
          <w:p w14:paraId="5A29B676" w14:textId="77777777" w:rsidR="00E440CE" w:rsidRPr="00ED7B99" w:rsidRDefault="003422A9">
            <w:pPr>
              <w:jc w:val="right"/>
              <w:rPr>
                <w:rFonts w:asciiTheme="majorHAnsi" w:hAnsiTheme="majorHAnsi" w:cstheme="majorHAnsi"/>
                <w:color w:val="000000"/>
                <w:sz w:val="16"/>
                <w:szCs w:val="16"/>
              </w:rPr>
            </w:pPr>
            <w:r w:rsidRPr="00ED7B99">
              <w:rPr>
                <w:rFonts w:asciiTheme="majorHAnsi" w:hAnsiTheme="majorHAnsi" w:cstheme="majorHAnsi"/>
                <w:b w:val="0"/>
                <w:color w:val="000000"/>
                <w:sz w:val="16"/>
                <w:szCs w:val="16"/>
              </w:rPr>
              <w:t>10</w:t>
            </w:r>
          </w:p>
        </w:tc>
        <w:tc>
          <w:tcPr>
            <w:tcW w:w="1382" w:type="dxa"/>
          </w:tcPr>
          <w:p w14:paraId="0D49B5B2"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Zeničko-dobojski</w:t>
            </w:r>
          </w:p>
        </w:tc>
        <w:tc>
          <w:tcPr>
            <w:tcW w:w="865" w:type="dxa"/>
          </w:tcPr>
          <w:p w14:paraId="5FCC258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793.495</w:t>
            </w:r>
          </w:p>
        </w:tc>
        <w:tc>
          <w:tcPr>
            <w:tcW w:w="888" w:type="dxa"/>
          </w:tcPr>
          <w:p w14:paraId="35C9CC1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735.536</w:t>
            </w:r>
          </w:p>
        </w:tc>
        <w:tc>
          <w:tcPr>
            <w:tcW w:w="889" w:type="dxa"/>
          </w:tcPr>
          <w:p w14:paraId="19A88DB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2.322.179</w:t>
            </w:r>
          </w:p>
        </w:tc>
        <w:tc>
          <w:tcPr>
            <w:tcW w:w="889" w:type="dxa"/>
          </w:tcPr>
          <w:p w14:paraId="72507D4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1.658.364</w:t>
            </w:r>
          </w:p>
        </w:tc>
        <w:tc>
          <w:tcPr>
            <w:tcW w:w="581" w:type="dxa"/>
          </w:tcPr>
          <w:p w14:paraId="14E27BDD"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968" w:type="dxa"/>
          </w:tcPr>
          <w:p w14:paraId="4FB67EF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5.509.574</w:t>
            </w:r>
          </w:p>
        </w:tc>
        <w:tc>
          <w:tcPr>
            <w:tcW w:w="695" w:type="dxa"/>
          </w:tcPr>
          <w:p w14:paraId="27318D9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22,0%</w:t>
            </w:r>
          </w:p>
        </w:tc>
        <w:tc>
          <w:tcPr>
            <w:tcW w:w="588" w:type="dxa"/>
            <w:gridSpan w:val="2"/>
          </w:tcPr>
          <w:p w14:paraId="3312AF9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769</w:t>
            </w:r>
          </w:p>
        </w:tc>
        <w:tc>
          <w:tcPr>
            <w:tcW w:w="612" w:type="dxa"/>
          </w:tcPr>
          <w:p w14:paraId="6EE7928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252</w:t>
            </w:r>
          </w:p>
        </w:tc>
        <w:tc>
          <w:tcPr>
            <w:tcW w:w="614" w:type="dxa"/>
          </w:tcPr>
          <w:p w14:paraId="44EDB20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32,8%</w:t>
            </w:r>
          </w:p>
        </w:tc>
      </w:tr>
      <w:tr w:rsidR="00E440CE" w:rsidRPr="00ED7B99" w14:paraId="134A5654" w14:textId="77777777" w:rsidTr="00A63412">
        <w:trPr>
          <w:trHeight w:val="20"/>
        </w:trPr>
        <w:tc>
          <w:tcPr>
            <w:cnfStyle w:val="001000000000" w:firstRow="0" w:lastRow="0" w:firstColumn="1" w:lastColumn="0" w:oddVBand="0" w:evenVBand="0" w:oddHBand="0" w:evenHBand="0" w:firstRowFirstColumn="0" w:firstRowLastColumn="0" w:lastRowFirstColumn="0" w:lastRowLastColumn="0"/>
            <w:tcW w:w="379" w:type="dxa"/>
            <w:shd w:val="clear" w:color="auto" w:fill="BCD9DE" w:themeFill="accent5" w:themeFillTint="66"/>
          </w:tcPr>
          <w:p w14:paraId="7CA3E773" w14:textId="77777777" w:rsidR="00E440CE" w:rsidRPr="00ED7B99" w:rsidRDefault="003422A9">
            <w:pPr>
              <w:jc w:val="center"/>
              <w:rPr>
                <w:rFonts w:asciiTheme="majorHAnsi" w:hAnsiTheme="majorHAnsi" w:cstheme="majorHAnsi"/>
                <w:color w:val="000000"/>
                <w:sz w:val="16"/>
                <w:szCs w:val="16"/>
              </w:rPr>
            </w:pPr>
            <w:r w:rsidRPr="00ED7B99">
              <w:rPr>
                <w:rFonts w:asciiTheme="majorHAnsi" w:hAnsiTheme="majorHAnsi" w:cstheme="majorHAnsi"/>
                <w:color w:val="000000"/>
                <w:sz w:val="16"/>
                <w:szCs w:val="16"/>
              </w:rPr>
              <w:t> </w:t>
            </w:r>
          </w:p>
        </w:tc>
        <w:tc>
          <w:tcPr>
            <w:tcW w:w="1382" w:type="dxa"/>
            <w:shd w:val="clear" w:color="auto" w:fill="BCD9DE" w:themeFill="accent5" w:themeFillTint="66"/>
          </w:tcPr>
          <w:p w14:paraId="36F31E4A"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UKUPNO</w:t>
            </w:r>
          </w:p>
        </w:tc>
        <w:tc>
          <w:tcPr>
            <w:tcW w:w="865" w:type="dxa"/>
            <w:shd w:val="clear" w:color="auto" w:fill="BCD9DE" w:themeFill="accent5" w:themeFillTint="66"/>
          </w:tcPr>
          <w:p w14:paraId="27DDCBE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sz w:val="16"/>
                <w:szCs w:val="16"/>
              </w:rPr>
              <w:t>3.903.350</w:t>
            </w:r>
          </w:p>
        </w:tc>
        <w:tc>
          <w:tcPr>
            <w:tcW w:w="888" w:type="dxa"/>
            <w:shd w:val="clear" w:color="auto" w:fill="BCD9DE" w:themeFill="accent5" w:themeFillTint="66"/>
          </w:tcPr>
          <w:p w14:paraId="02E55B81" w14:textId="77777777" w:rsidR="00E440CE" w:rsidRPr="00ED7B99" w:rsidRDefault="003422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sz w:val="16"/>
                <w:szCs w:val="16"/>
              </w:rPr>
              <w:t>4.815.322</w:t>
            </w:r>
          </w:p>
        </w:tc>
        <w:tc>
          <w:tcPr>
            <w:tcW w:w="889" w:type="dxa"/>
            <w:shd w:val="clear" w:color="auto" w:fill="BCD9DE" w:themeFill="accent5" w:themeFillTint="66"/>
          </w:tcPr>
          <w:p w14:paraId="33F428E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sz w:val="16"/>
                <w:szCs w:val="16"/>
              </w:rPr>
              <w:t>8.516.712</w:t>
            </w:r>
          </w:p>
        </w:tc>
        <w:tc>
          <w:tcPr>
            <w:tcW w:w="889" w:type="dxa"/>
            <w:shd w:val="clear" w:color="auto" w:fill="BCD9DE" w:themeFill="accent5" w:themeFillTint="66"/>
          </w:tcPr>
          <w:p w14:paraId="38D0D80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sz w:val="16"/>
                <w:szCs w:val="16"/>
              </w:rPr>
              <w:t>7.806.316</w:t>
            </w:r>
          </w:p>
        </w:tc>
        <w:tc>
          <w:tcPr>
            <w:tcW w:w="581" w:type="dxa"/>
            <w:shd w:val="clear" w:color="auto" w:fill="BCD9DE" w:themeFill="accent5" w:themeFillTint="66"/>
          </w:tcPr>
          <w:p w14:paraId="3EFBFC9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sz w:val="16"/>
                <w:szCs w:val="16"/>
              </w:rPr>
              <w:t>0</w:t>
            </w:r>
          </w:p>
        </w:tc>
        <w:tc>
          <w:tcPr>
            <w:tcW w:w="968" w:type="dxa"/>
            <w:shd w:val="clear" w:color="auto" w:fill="BCD9DE" w:themeFill="accent5" w:themeFillTint="66"/>
          </w:tcPr>
          <w:p w14:paraId="6416700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sz w:val="16"/>
                <w:szCs w:val="16"/>
              </w:rPr>
              <w:t>25.041.700</w:t>
            </w:r>
          </w:p>
        </w:tc>
        <w:tc>
          <w:tcPr>
            <w:tcW w:w="695" w:type="dxa"/>
            <w:shd w:val="clear" w:color="auto" w:fill="BCD9DE" w:themeFill="accent5" w:themeFillTint="66"/>
          </w:tcPr>
          <w:p w14:paraId="4BD5368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100,0%</w:t>
            </w:r>
          </w:p>
        </w:tc>
        <w:tc>
          <w:tcPr>
            <w:tcW w:w="588" w:type="dxa"/>
            <w:gridSpan w:val="2"/>
            <w:shd w:val="clear" w:color="auto" w:fill="BCD9DE" w:themeFill="accent5" w:themeFillTint="66"/>
          </w:tcPr>
          <w:p w14:paraId="4D98CAE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5.271</w:t>
            </w:r>
          </w:p>
        </w:tc>
        <w:tc>
          <w:tcPr>
            <w:tcW w:w="612" w:type="dxa"/>
            <w:shd w:val="clear" w:color="auto" w:fill="BCD9DE" w:themeFill="accent5" w:themeFillTint="66"/>
          </w:tcPr>
          <w:p w14:paraId="79ACEA2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1.675</w:t>
            </w:r>
          </w:p>
        </w:tc>
        <w:tc>
          <w:tcPr>
            <w:tcW w:w="614" w:type="dxa"/>
            <w:shd w:val="clear" w:color="auto" w:fill="BCD9DE" w:themeFill="accent5" w:themeFillTint="66"/>
          </w:tcPr>
          <w:p w14:paraId="79A03CD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ED7B99">
              <w:rPr>
                <w:rFonts w:asciiTheme="majorHAnsi" w:hAnsiTheme="majorHAnsi" w:cstheme="majorHAnsi"/>
                <w:color w:val="000000"/>
                <w:sz w:val="16"/>
                <w:szCs w:val="16"/>
              </w:rPr>
              <w:t>31,8%</w:t>
            </w:r>
          </w:p>
        </w:tc>
      </w:tr>
    </w:tbl>
    <w:p w14:paraId="25DE88BE" w14:textId="77777777" w:rsidR="00E440CE" w:rsidRPr="00ED7B99" w:rsidRDefault="00E440CE">
      <w:pPr>
        <w:rPr>
          <w:rFonts w:asciiTheme="majorHAnsi" w:hAnsiTheme="majorHAnsi" w:cstheme="majorHAnsi"/>
        </w:rPr>
      </w:pPr>
    </w:p>
    <w:p w14:paraId="6530ABA6" w14:textId="52593D04" w:rsidR="00E440CE" w:rsidRPr="00ED7B99" w:rsidRDefault="00A63412" w:rsidP="00A63412">
      <w:pPr>
        <w:pStyle w:val="Heading2"/>
        <w:rPr>
          <w:rFonts w:eastAsia="Calibri"/>
        </w:rPr>
      </w:pPr>
      <w:bookmarkStart w:id="36" w:name="_Toc117458932"/>
      <w:r>
        <w:rPr>
          <w:rFonts w:eastAsia="Calibri"/>
        </w:rPr>
        <w:t>3</w:t>
      </w:r>
      <w:r w:rsidR="003422A9" w:rsidRPr="00ED7B99">
        <w:rPr>
          <w:rFonts w:eastAsia="Calibri"/>
        </w:rPr>
        <w:t>.2. Raspodjela sredstava programa  „Kreditni poticaj razvoja poduzetništva i obrta“ po kantonima</w:t>
      </w:r>
      <w:bookmarkEnd w:id="36"/>
    </w:p>
    <w:p w14:paraId="1735FC37" w14:textId="77777777" w:rsidR="00E440CE" w:rsidRPr="00ED7B99" w:rsidRDefault="00E440CE">
      <w:pPr>
        <w:rPr>
          <w:rFonts w:asciiTheme="majorHAnsi" w:hAnsiTheme="majorHAnsi" w:cstheme="majorHAnsi"/>
        </w:rPr>
      </w:pPr>
    </w:p>
    <w:p w14:paraId="0D197598"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U budžetu Federacije Bosne i Hercegovine („Službene novine Federacije BiH", br. 102/15), u razdjelu 50. ek. kod 822600 - Ostala domaća pozajmljivanja, Federalnom ministarstvu razvoja, poduzetništva i obrta, u periodu 2016-2019.godina  odobrena su sredstva u iznosu od 21.572.415 KM, radi realizacije Programa „Kreditni poticaj razvoja poduzetništva i obrta“.</w:t>
      </w:r>
    </w:p>
    <w:p w14:paraId="24C0F0C2"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Prema odlukama Vlade Federacije sredstva za realizaciju Programa „Kreditni poticaj razvoja poduzetništva i obrta“, plasirana su putem Razvojne banke Federacije Bosne i Hercegovine, na revolving osnovi, sa rokom povrata </w:t>
      </w:r>
      <w:r w:rsidRPr="005B52DB">
        <w:rPr>
          <w:rFonts w:asciiTheme="majorHAnsi" w:hAnsiTheme="majorHAnsi" w:cstheme="majorHAnsi"/>
        </w:rPr>
        <w:t xml:space="preserve">sredstava na JRR Budžeta Federacije Bosne i Hercegovine do 2030, grejs periodom do dvije godine i kamatnom stopom do 1%. </w:t>
      </w:r>
    </w:p>
    <w:p w14:paraId="18E10038"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 xml:space="preserve">Pored sredstava iz Budžeta F BiH,  Ministarstvo je u ovom razdoblju  raspolagalo i sa sredstvima od naplaćenih glavnica prethodno plasiranih kredita, koja su deponirana kod Razvojne banke Federacije BiH i vode se na kontu „Dugoročni namjenski depozit Vlade Federacije BiH – Federalno ministarstvo razvoja, poduzetništva i obrta“. </w:t>
      </w:r>
    </w:p>
    <w:p w14:paraId="0AD23199"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Na objavljene konkurse u cilju realizacije Programa „Kreditni poticaj razvoja poduzetništva i obrta“ javilo  se 509 subjekata male privrede. U skladu sa prijedlogom Komisije, federalni ministar razvoja, poduzetništva i obrta, donio je 101 odluku o dodjeli kredita koje su dostavljene na realizaciju Razvojnoj banci Federacije BiH. Raspodjela odobrenih financijskih kreditnih sredstava sa brojem korisnika po kantonima/županijama u Federaciji Bosne i Hercegovine, data je u niže priloženom tabelarnom prikazu.</w:t>
      </w:r>
    </w:p>
    <w:p w14:paraId="3CC57879" w14:textId="77777777" w:rsidR="00E440CE" w:rsidRPr="00ED7B99" w:rsidRDefault="003422A9">
      <w:pPr>
        <w:jc w:val="both"/>
        <w:rPr>
          <w:rFonts w:asciiTheme="majorHAnsi" w:hAnsiTheme="majorHAnsi" w:cstheme="majorHAnsi"/>
        </w:rPr>
      </w:pPr>
      <w:r w:rsidRPr="00ED7B99">
        <w:rPr>
          <w:rFonts w:asciiTheme="majorHAnsi" w:hAnsiTheme="majorHAnsi" w:cstheme="majorHAnsi"/>
        </w:rPr>
        <w:t>Od ukupno odobrenih kreditnih sredstava 21.572.415 KM najviše sredstava odobreno je subjektima male privrede iz Ze-Do kantona, zatim HNK kantona čiji subjekti su imali preko 50% aplikacija. Zanimljivo je da su samo rijetki poslovni subjekti sa područja Posavskog kantona i BPK aplicirali, a da ni za jedan projekt nisu odobrena sredstva.</w:t>
      </w:r>
    </w:p>
    <w:p w14:paraId="58385608" w14:textId="5907A984" w:rsidR="00A63412" w:rsidRDefault="00A63412" w:rsidP="00A63412">
      <w:pPr>
        <w:pStyle w:val="Caption"/>
        <w:keepNext/>
      </w:pPr>
      <w:r>
        <w:t xml:space="preserve">Tabela </w:t>
      </w:r>
      <w:fldSimple w:instr=" SEQ Tabela \* ARABIC ">
        <w:r w:rsidR="00DB6BC6">
          <w:rPr>
            <w:noProof/>
          </w:rPr>
          <w:t>26</w:t>
        </w:r>
      </w:fldSimple>
      <w:r>
        <w:t xml:space="preserve">. </w:t>
      </w:r>
      <w:r w:rsidRPr="00EB1D57">
        <w:t>Pregled impl</w:t>
      </w:r>
      <w:r>
        <w:t>e</w:t>
      </w:r>
      <w:r w:rsidRPr="00EB1D57">
        <w:t>mentacije programa  „Kreditni poticaj razvoja poduzetništva i obrta" FMRPO za period 2016.-2019. godina</w:t>
      </w:r>
    </w:p>
    <w:tbl>
      <w:tblPr>
        <w:tblStyle w:val="afe"/>
        <w:tblW w:w="9349" w:type="dxa"/>
        <w:tblBorders>
          <w:top w:val="single" w:sz="4" w:space="0" w:color="B5C1DF"/>
          <w:left w:val="single" w:sz="4" w:space="0" w:color="B5C1DF"/>
          <w:bottom w:val="single" w:sz="4" w:space="0" w:color="B5C1DF"/>
          <w:right w:val="single" w:sz="4" w:space="0" w:color="B5C1DF"/>
          <w:insideH w:val="single" w:sz="4" w:space="0" w:color="B5C1DF"/>
          <w:insideV w:val="single" w:sz="4" w:space="0" w:color="B5C1DF"/>
        </w:tblBorders>
        <w:tblLayout w:type="fixed"/>
        <w:tblLook w:val="04A0" w:firstRow="1" w:lastRow="0" w:firstColumn="1" w:lastColumn="0" w:noHBand="0" w:noVBand="1"/>
      </w:tblPr>
      <w:tblGrid>
        <w:gridCol w:w="359"/>
        <w:gridCol w:w="1098"/>
        <w:gridCol w:w="744"/>
        <w:gridCol w:w="744"/>
        <w:gridCol w:w="744"/>
        <w:gridCol w:w="744"/>
        <w:gridCol w:w="514"/>
        <w:gridCol w:w="811"/>
        <w:gridCol w:w="591"/>
        <w:gridCol w:w="363"/>
        <w:gridCol w:w="363"/>
        <w:gridCol w:w="738"/>
        <w:gridCol w:w="768"/>
        <w:gridCol w:w="768"/>
      </w:tblGrid>
      <w:tr w:rsidR="00E440CE" w:rsidRPr="00ED7B99" w14:paraId="7A9C0CFE" w14:textId="77777777" w:rsidTr="00A634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 w:type="dxa"/>
            <w:shd w:val="clear" w:color="auto" w:fill="BCD9DE" w:themeFill="accent5" w:themeFillTint="66"/>
          </w:tcPr>
          <w:p w14:paraId="17858875"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 </w:t>
            </w:r>
          </w:p>
        </w:tc>
        <w:tc>
          <w:tcPr>
            <w:tcW w:w="1098" w:type="dxa"/>
            <w:shd w:val="clear" w:color="auto" w:fill="BCD9DE" w:themeFill="accent5" w:themeFillTint="66"/>
          </w:tcPr>
          <w:p w14:paraId="78D0A613" w14:textId="77777777" w:rsidR="00E440CE" w:rsidRPr="00ED7B99" w:rsidRDefault="003422A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5255" w:type="dxa"/>
            <w:gridSpan w:val="8"/>
            <w:shd w:val="clear" w:color="auto" w:fill="BCD9DE" w:themeFill="accent5" w:themeFillTint="66"/>
          </w:tcPr>
          <w:p w14:paraId="7780223B" w14:textId="77777777" w:rsidR="00E440CE" w:rsidRPr="00ED7B99" w:rsidRDefault="003422A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Sredstva  "Kreditni poticaj razvoja poduzetništva i obrta"</w:t>
            </w:r>
          </w:p>
        </w:tc>
        <w:tc>
          <w:tcPr>
            <w:tcW w:w="2637" w:type="dxa"/>
            <w:gridSpan w:val="4"/>
            <w:shd w:val="clear" w:color="auto" w:fill="BCD9DE" w:themeFill="accent5" w:themeFillTint="66"/>
          </w:tcPr>
          <w:p w14:paraId="09AE310A" w14:textId="77777777" w:rsidR="00E440CE" w:rsidRPr="00ED7B99" w:rsidRDefault="003422A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Projekti</w:t>
            </w:r>
          </w:p>
        </w:tc>
      </w:tr>
      <w:tr w:rsidR="00E440CE" w:rsidRPr="00ED7B99" w14:paraId="362205CA" w14:textId="77777777" w:rsidTr="00A63412">
        <w:trPr>
          <w:trHeight w:val="675"/>
        </w:trPr>
        <w:tc>
          <w:tcPr>
            <w:cnfStyle w:val="001000000000" w:firstRow="0" w:lastRow="0" w:firstColumn="1" w:lastColumn="0" w:oddVBand="0" w:evenVBand="0" w:oddHBand="0" w:evenHBand="0" w:firstRowFirstColumn="0" w:firstRowLastColumn="0" w:lastRowFirstColumn="0" w:lastRowLastColumn="0"/>
            <w:tcW w:w="359" w:type="dxa"/>
          </w:tcPr>
          <w:p w14:paraId="4FAB6D99"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Rb</w:t>
            </w:r>
          </w:p>
        </w:tc>
        <w:tc>
          <w:tcPr>
            <w:tcW w:w="1098" w:type="dxa"/>
          </w:tcPr>
          <w:p w14:paraId="7E987433"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Kanton/Županija</w:t>
            </w:r>
          </w:p>
        </w:tc>
        <w:tc>
          <w:tcPr>
            <w:tcW w:w="744" w:type="dxa"/>
          </w:tcPr>
          <w:p w14:paraId="39AEBEC4"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2016.</w:t>
            </w:r>
          </w:p>
        </w:tc>
        <w:tc>
          <w:tcPr>
            <w:tcW w:w="744" w:type="dxa"/>
          </w:tcPr>
          <w:p w14:paraId="7FD930F4"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2017.</w:t>
            </w:r>
          </w:p>
        </w:tc>
        <w:tc>
          <w:tcPr>
            <w:tcW w:w="744" w:type="dxa"/>
          </w:tcPr>
          <w:p w14:paraId="4A37F2FB"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2018.</w:t>
            </w:r>
          </w:p>
        </w:tc>
        <w:tc>
          <w:tcPr>
            <w:tcW w:w="744" w:type="dxa"/>
          </w:tcPr>
          <w:p w14:paraId="5F716837"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2019.</w:t>
            </w:r>
          </w:p>
        </w:tc>
        <w:tc>
          <w:tcPr>
            <w:tcW w:w="514" w:type="dxa"/>
          </w:tcPr>
          <w:p w14:paraId="1CB7E870"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2021.</w:t>
            </w:r>
          </w:p>
        </w:tc>
        <w:tc>
          <w:tcPr>
            <w:tcW w:w="811" w:type="dxa"/>
          </w:tcPr>
          <w:p w14:paraId="565CDE16"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Ukupno</w:t>
            </w:r>
          </w:p>
        </w:tc>
        <w:tc>
          <w:tcPr>
            <w:tcW w:w="591" w:type="dxa"/>
          </w:tcPr>
          <w:p w14:paraId="43C0E42F"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Učešće u %</w:t>
            </w:r>
          </w:p>
        </w:tc>
        <w:tc>
          <w:tcPr>
            <w:tcW w:w="726" w:type="dxa"/>
            <w:gridSpan w:val="2"/>
          </w:tcPr>
          <w:p w14:paraId="59FEB205"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aplikacije</w:t>
            </w:r>
          </w:p>
        </w:tc>
        <w:tc>
          <w:tcPr>
            <w:tcW w:w="738" w:type="dxa"/>
          </w:tcPr>
          <w:p w14:paraId="1B004695"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odobreno</w:t>
            </w:r>
          </w:p>
        </w:tc>
        <w:tc>
          <w:tcPr>
            <w:tcW w:w="768" w:type="dxa"/>
          </w:tcPr>
          <w:p w14:paraId="74A070A8"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odobrenih</w:t>
            </w:r>
          </w:p>
        </w:tc>
        <w:tc>
          <w:tcPr>
            <w:tcW w:w="768" w:type="dxa"/>
          </w:tcPr>
          <w:p w14:paraId="4A0ED584"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učešća odobrenih</w:t>
            </w:r>
          </w:p>
        </w:tc>
      </w:tr>
      <w:tr w:rsidR="00E440CE" w:rsidRPr="00ED7B99" w14:paraId="210054CF"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5244F23E"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1</w:t>
            </w:r>
          </w:p>
        </w:tc>
        <w:tc>
          <w:tcPr>
            <w:tcW w:w="1098" w:type="dxa"/>
          </w:tcPr>
          <w:p w14:paraId="3A0E28E3"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Bosansko-podrinjski</w:t>
            </w:r>
          </w:p>
        </w:tc>
        <w:tc>
          <w:tcPr>
            <w:tcW w:w="744" w:type="dxa"/>
          </w:tcPr>
          <w:p w14:paraId="4C4369A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5139EA3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35DA133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0A1F444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514" w:type="dxa"/>
          </w:tcPr>
          <w:p w14:paraId="6C8A11F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07E0B60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591" w:type="dxa"/>
          </w:tcPr>
          <w:p w14:paraId="52B32CE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0,0%</w:t>
            </w:r>
          </w:p>
        </w:tc>
        <w:tc>
          <w:tcPr>
            <w:tcW w:w="726" w:type="dxa"/>
            <w:gridSpan w:val="2"/>
          </w:tcPr>
          <w:p w14:paraId="3ECDE93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3</w:t>
            </w:r>
          </w:p>
        </w:tc>
        <w:tc>
          <w:tcPr>
            <w:tcW w:w="738" w:type="dxa"/>
          </w:tcPr>
          <w:p w14:paraId="7C78BA4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68" w:type="dxa"/>
          </w:tcPr>
          <w:p w14:paraId="3E8EDA5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0,0%</w:t>
            </w:r>
          </w:p>
        </w:tc>
        <w:tc>
          <w:tcPr>
            <w:tcW w:w="768" w:type="dxa"/>
          </w:tcPr>
          <w:p w14:paraId="095BC77A"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0,0%</w:t>
            </w:r>
          </w:p>
        </w:tc>
      </w:tr>
      <w:tr w:rsidR="00E440CE" w:rsidRPr="00ED7B99" w14:paraId="40F7A2FD"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24C25999"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2</w:t>
            </w:r>
          </w:p>
        </w:tc>
        <w:tc>
          <w:tcPr>
            <w:tcW w:w="1098" w:type="dxa"/>
          </w:tcPr>
          <w:p w14:paraId="4EF41899"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Hercegovačko-neretvanski</w:t>
            </w:r>
          </w:p>
        </w:tc>
        <w:tc>
          <w:tcPr>
            <w:tcW w:w="744" w:type="dxa"/>
          </w:tcPr>
          <w:p w14:paraId="0560938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670.000</w:t>
            </w:r>
          </w:p>
        </w:tc>
        <w:tc>
          <w:tcPr>
            <w:tcW w:w="744" w:type="dxa"/>
          </w:tcPr>
          <w:p w14:paraId="6507813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1.869.520</w:t>
            </w:r>
          </w:p>
        </w:tc>
        <w:tc>
          <w:tcPr>
            <w:tcW w:w="744" w:type="dxa"/>
          </w:tcPr>
          <w:p w14:paraId="6BF62F5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1.261.000</w:t>
            </w:r>
          </w:p>
        </w:tc>
        <w:tc>
          <w:tcPr>
            <w:tcW w:w="744" w:type="dxa"/>
          </w:tcPr>
          <w:p w14:paraId="5E840F0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1.226.871</w:t>
            </w:r>
          </w:p>
        </w:tc>
        <w:tc>
          <w:tcPr>
            <w:tcW w:w="514" w:type="dxa"/>
          </w:tcPr>
          <w:p w14:paraId="0B4240C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07BB46E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5.027.391</w:t>
            </w:r>
          </w:p>
        </w:tc>
        <w:tc>
          <w:tcPr>
            <w:tcW w:w="591" w:type="dxa"/>
          </w:tcPr>
          <w:p w14:paraId="369C633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20,1%</w:t>
            </w:r>
          </w:p>
        </w:tc>
        <w:tc>
          <w:tcPr>
            <w:tcW w:w="726" w:type="dxa"/>
            <w:gridSpan w:val="2"/>
          </w:tcPr>
          <w:p w14:paraId="2895FCA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109</w:t>
            </w:r>
          </w:p>
        </w:tc>
        <w:tc>
          <w:tcPr>
            <w:tcW w:w="738" w:type="dxa"/>
          </w:tcPr>
          <w:p w14:paraId="1D0A992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29</w:t>
            </w:r>
          </w:p>
        </w:tc>
        <w:tc>
          <w:tcPr>
            <w:tcW w:w="768" w:type="dxa"/>
          </w:tcPr>
          <w:p w14:paraId="3AA2BBD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26,6%</w:t>
            </w:r>
          </w:p>
        </w:tc>
        <w:tc>
          <w:tcPr>
            <w:tcW w:w="768" w:type="dxa"/>
          </w:tcPr>
          <w:p w14:paraId="100C3FC8"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28,7%</w:t>
            </w:r>
          </w:p>
        </w:tc>
      </w:tr>
      <w:tr w:rsidR="00E440CE" w:rsidRPr="00ED7B99" w14:paraId="4005B86D"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77349AC0"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3</w:t>
            </w:r>
          </w:p>
        </w:tc>
        <w:tc>
          <w:tcPr>
            <w:tcW w:w="1098" w:type="dxa"/>
          </w:tcPr>
          <w:p w14:paraId="3821A598"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Kanton 10</w:t>
            </w:r>
          </w:p>
        </w:tc>
        <w:tc>
          <w:tcPr>
            <w:tcW w:w="744" w:type="dxa"/>
          </w:tcPr>
          <w:p w14:paraId="7DDA9D2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700.000</w:t>
            </w:r>
          </w:p>
        </w:tc>
        <w:tc>
          <w:tcPr>
            <w:tcW w:w="744" w:type="dxa"/>
          </w:tcPr>
          <w:p w14:paraId="46CB87F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300.000</w:t>
            </w:r>
          </w:p>
        </w:tc>
        <w:tc>
          <w:tcPr>
            <w:tcW w:w="744" w:type="dxa"/>
          </w:tcPr>
          <w:p w14:paraId="092C859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0C0EEBA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350.000</w:t>
            </w:r>
          </w:p>
        </w:tc>
        <w:tc>
          <w:tcPr>
            <w:tcW w:w="514" w:type="dxa"/>
          </w:tcPr>
          <w:p w14:paraId="3372EC5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5AE17F7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1.350.000</w:t>
            </w:r>
          </w:p>
        </w:tc>
        <w:tc>
          <w:tcPr>
            <w:tcW w:w="591" w:type="dxa"/>
          </w:tcPr>
          <w:p w14:paraId="17E3415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5,4%</w:t>
            </w:r>
          </w:p>
        </w:tc>
        <w:tc>
          <w:tcPr>
            <w:tcW w:w="726" w:type="dxa"/>
            <w:gridSpan w:val="2"/>
          </w:tcPr>
          <w:p w14:paraId="044D481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21</w:t>
            </w:r>
          </w:p>
        </w:tc>
        <w:tc>
          <w:tcPr>
            <w:tcW w:w="738" w:type="dxa"/>
          </w:tcPr>
          <w:p w14:paraId="23D2A23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w:t>
            </w:r>
          </w:p>
        </w:tc>
        <w:tc>
          <w:tcPr>
            <w:tcW w:w="768" w:type="dxa"/>
          </w:tcPr>
          <w:p w14:paraId="62A71E3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23,8%</w:t>
            </w:r>
          </w:p>
        </w:tc>
        <w:tc>
          <w:tcPr>
            <w:tcW w:w="768" w:type="dxa"/>
          </w:tcPr>
          <w:p w14:paraId="403EB07E"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5,0%</w:t>
            </w:r>
          </w:p>
        </w:tc>
      </w:tr>
      <w:tr w:rsidR="00E440CE" w:rsidRPr="00ED7B99" w14:paraId="7A9BB7F1"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36810198"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4</w:t>
            </w:r>
          </w:p>
        </w:tc>
        <w:tc>
          <w:tcPr>
            <w:tcW w:w="1098" w:type="dxa"/>
          </w:tcPr>
          <w:p w14:paraId="0E26EF73"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Posavski</w:t>
            </w:r>
          </w:p>
        </w:tc>
        <w:tc>
          <w:tcPr>
            <w:tcW w:w="744" w:type="dxa"/>
          </w:tcPr>
          <w:p w14:paraId="06BCD05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149170F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2AA7D25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033DB4F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514" w:type="dxa"/>
          </w:tcPr>
          <w:p w14:paraId="7155362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6D0AA99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591" w:type="dxa"/>
          </w:tcPr>
          <w:p w14:paraId="4D1904B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0,0%</w:t>
            </w:r>
          </w:p>
        </w:tc>
        <w:tc>
          <w:tcPr>
            <w:tcW w:w="726" w:type="dxa"/>
            <w:gridSpan w:val="2"/>
          </w:tcPr>
          <w:p w14:paraId="53D6818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w:t>
            </w:r>
          </w:p>
        </w:tc>
        <w:tc>
          <w:tcPr>
            <w:tcW w:w="738" w:type="dxa"/>
          </w:tcPr>
          <w:p w14:paraId="6733CF7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68" w:type="dxa"/>
          </w:tcPr>
          <w:p w14:paraId="49ABD82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0,0%</w:t>
            </w:r>
          </w:p>
        </w:tc>
        <w:tc>
          <w:tcPr>
            <w:tcW w:w="768" w:type="dxa"/>
          </w:tcPr>
          <w:p w14:paraId="608F7581"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0,0%</w:t>
            </w:r>
          </w:p>
        </w:tc>
      </w:tr>
      <w:tr w:rsidR="00E440CE" w:rsidRPr="00ED7B99" w14:paraId="0489BA18"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42EC8FD6"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lastRenderedPageBreak/>
              <w:t>5</w:t>
            </w:r>
          </w:p>
        </w:tc>
        <w:tc>
          <w:tcPr>
            <w:tcW w:w="1098" w:type="dxa"/>
          </w:tcPr>
          <w:p w14:paraId="0856E52E"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Sarajevo</w:t>
            </w:r>
          </w:p>
        </w:tc>
        <w:tc>
          <w:tcPr>
            <w:tcW w:w="744" w:type="dxa"/>
          </w:tcPr>
          <w:p w14:paraId="08A2C06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66BCB73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70CE8E5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3F3801D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1.000.000</w:t>
            </w:r>
          </w:p>
        </w:tc>
        <w:tc>
          <w:tcPr>
            <w:tcW w:w="514" w:type="dxa"/>
          </w:tcPr>
          <w:p w14:paraId="62AA70C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3FB5C24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1.000.000</w:t>
            </w:r>
          </w:p>
        </w:tc>
        <w:tc>
          <w:tcPr>
            <w:tcW w:w="591" w:type="dxa"/>
          </w:tcPr>
          <w:p w14:paraId="3AEA45C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4,0%</w:t>
            </w:r>
          </w:p>
        </w:tc>
        <w:tc>
          <w:tcPr>
            <w:tcW w:w="726" w:type="dxa"/>
            <w:gridSpan w:val="2"/>
          </w:tcPr>
          <w:p w14:paraId="4882C68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50</w:t>
            </w:r>
          </w:p>
        </w:tc>
        <w:tc>
          <w:tcPr>
            <w:tcW w:w="738" w:type="dxa"/>
          </w:tcPr>
          <w:p w14:paraId="5C079CA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w:t>
            </w:r>
          </w:p>
        </w:tc>
        <w:tc>
          <w:tcPr>
            <w:tcW w:w="768" w:type="dxa"/>
          </w:tcPr>
          <w:p w14:paraId="2B10E06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4,0%</w:t>
            </w:r>
          </w:p>
        </w:tc>
        <w:tc>
          <w:tcPr>
            <w:tcW w:w="768" w:type="dxa"/>
          </w:tcPr>
          <w:p w14:paraId="417D71F6"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2,0%</w:t>
            </w:r>
          </w:p>
        </w:tc>
      </w:tr>
      <w:tr w:rsidR="00E440CE" w:rsidRPr="00ED7B99" w14:paraId="4B0F91C9"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32B4E863"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6</w:t>
            </w:r>
          </w:p>
        </w:tc>
        <w:tc>
          <w:tcPr>
            <w:tcW w:w="1098" w:type="dxa"/>
          </w:tcPr>
          <w:p w14:paraId="6143E43F"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Srednjobosanski</w:t>
            </w:r>
          </w:p>
        </w:tc>
        <w:tc>
          <w:tcPr>
            <w:tcW w:w="744" w:type="dxa"/>
          </w:tcPr>
          <w:p w14:paraId="04982D4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293.271</w:t>
            </w:r>
          </w:p>
        </w:tc>
        <w:tc>
          <w:tcPr>
            <w:tcW w:w="744" w:type="dxa"/>
          </w:tcPr>
          <w:p w14:paraId="5D0D3E2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1.294.900</w:t>
            </w:r>
          </w:p>
        </w:tc>
        <w:tc>
          <w:tcPr>
            <w:tcW w:w="744" w:type="dxa"/>
          </w:tcPr>
          <w:p w14:paraId="60163DB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285.926</w:t>
            </w:r>
          </w:p>
        </w:tc>
        <w:tc>
          <w:tcPr>
            <w:tcW w:w="744" w:type="dxa"/>
          </w:tcPr>
          <w:p w14:paraId="5049EC9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669.359</w:t>
            </w:r>
          </w:p>
        </w:tc>
        <w:tc>
          <w:tcPr>
            <w:tcW w:w="514" w:type="dxa"/>
          </w:tcPr>
          <w:p w14:paraId="3F05702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4EABB30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2.543.456</w:t>
            </w:r>
          </w:p>
        </w:tc>
        <w:tc>
          <w:tcPr>
            <w:tcW w:w="591" w:type="dxa"/>
          </w:tcPr>
          <w:p w14:paraId="2C00C66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10,2%</w:t>
            </w:r>
          </w:p>
        </w:tc>
        <w:tc>
          <w:tcPr>
            <w:tcW w:w="726" w:type="dxa"/>
            <w:gridSpan w:val="2"/>
          </w:tcPr>
          <w:p w14:paraId="34C723B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45</w:t>
            </w:r>
          </w:p>
        </w:tc>
        <w:tc>
          <w:tcPr>
            <w:tcW w:w="738" w:type="dxa"/>
          </w:tcPr>
          <w:p w14:paraId="56B32C2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12</w:t>
            </w:r>
          </w:p>
        </w:tc>
        <w:tc>
          <w:tcPr>
            <w:tcW w:w="768" w:type="dxa"/>
          </w:tcPr>
          <w:p w14:paraId="32B2B9B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26,7%</w:t>
            </w:r>
          </w:p>
        </w:tc>
        <w:tc>
          <w:tcPr>
            <w:tcW w:w="768" w:type="dxa"/>
          </w:tcPr>
          <w:p w14:paraId="0D8BE652"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11,9%</w:t>
            </w:r>
          </w:p>
        </w:tc>
      </w:tr>
      <w:tr w:rsidR="00E440CE" w:rsidRPr="00ED7B99" w14:paraId="1335043B"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2F589620"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7</w:t>
            </w:r>
          </w:p>
        </w:tc>
        <w:tc>
          <w:tcPr>
            <w:tcW w:w="1098" w:type="dxa"/>
          </w:tcPr>
          <w:p w14:paraId="748415C0"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Tuzlanski</w:t>
            </w:r>
          </w:p>
        </w:tc>
        <w:tc>
          <w:tcPr>
            <w:tcW w:w="744" w:type="dxa"/>
          </w:tcPr>
          <w:p w14:paraId="0A43559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300.000</w:t>
            </w:r>
          </w:p>
        </w:tc>
        <w:tc>
          <w:tcPr>
            <w:tcW w:w="744" w:type="dxa"/>
          </w:tcPr>
          <w:p w14:paraId="54368E6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800.000</w:t>
            </w:r>
          </w:p>
        </w:tc>
        <w:tc>
          <w:tcPr>
            <w:tcW w:w="744" w:type="dxa"/>
          </w:tcPr>
          <w:p w14:paraId="4C016FB0"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6E26993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679.187</w:t>
            </w:r>
          </w:p>
        </w:tc>
        <w:tc>
          <w:tcPr>
            <w:tcW w:w="514" w:type="dxa"/>
          </w:tcPr>
          <w:p w14:paraId="59D0AA7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3529A9F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1.779.187</w:t>
            </w:r>
          </w:p>
        </w:tc>
        <w:tc>
          <w:tcPr>
            <w:tcW w:w="591" w:type="dxa"/>
          </w:tcPr>
          <w:p w14:paraId="1A6A752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7,1%</w:t>
            </w:r>
          </w:p>
        </w:tc>
        <w:tc>
          <w:tcPr>
            <w:tcW w:w="726" w:type="dxa"/>
            <w:gridSpan w:val="2"/>
          </w:tcPr>
          <w:p w14:paraId="011CF56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86</w:t>
            </w:r>
          </w:p>
        </w:tc>
        <w:tc>
          <w:tcPr>
            <w:tcW w:w="738" w:type="dxa"/>
          </w:tcPr>
          <w:p w14:paraId="4EFFCFB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8</w:t>
            </w:r>
          </w:p>
        </w:tc>
        <w:tc>
          <w:tcPr>
            <w:tcW w:w="768" w:type="dxa"/>
          </w:tcPr>
          <w:p w14:paraId="46D0115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9,3%</w:t>
            </w:r>
          </w:p>
        </w:tc>
        <w:tc>
          <w:tcPr>
            <w:tcW w:w="768" w:type="dxa"/>
          </w:tcPr>
          <w:p w14:paraId="37354F6E"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7,9%</w:t>
            </w:r>
          </w:p>
        </w:tc>
      </w:tr>
      <w:tr w:rsidR="00E440CE" w:rsidRPr="00ED7B99" w14:paraId="47E0ECB8"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73F01A08"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8</w:t>
            </w:r>
          </w:p>
        </w:tc>
        <w:tc>
          <w:tcPr>
            <w:tcW w:w="1098" w:type="dxa"/>
          </w:tcPr>
          <w:p w14:paraId="5D239380"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Unsko-sanski</w:t>
            </w:r>
          </w:p>
        </w:tc>
        <w:tc>
          <w:tcPr>
            <w:tcW w:w="744" w:type="dxa"/>
          </w:tcPr>
          <w:p w14:paraId="38DE733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744" w:type="dxa"/>
          </w:tcPr>
          <w:p w14:paraId="48F7A78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380.000</w:t>
            </w:r>
          </w:p>
        </w:tc>
        <w:tc>
          <w:tcPr>
            <w:tcW w:w="744" w:type="dxa"/>
          </w:tcPr>
          <w:p w14:paraId="5FE3B57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509.990</w:t>
            </w:r>
          </w:p>
        </w:tc>
        <w:tc>
          <w:tcPr>
            <w:tcW w:w="744" w:type="dxa"/>
          </w:tcPr>
          <w:p w14:paraId="3DB6AAD8"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936.580</w:t>
            </w:r>
          </w:p>
        </w:tc>
        <w:tc>
          <w:tcPr>
            <w:tcW w:w="514" w:type="dxa"/>
          </w:tcPr>
          <w:p w14:paraId="23C4F4E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55F483A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1.826.570</w:t>
            </w:r>
          </w:p>
        </w:tc>
        <w:tc>
          <w:tcPr>
            <w:tcW w:w="591" w:type="dxa"/>
          </w:tcPr>
          <w:p w14:paraId="206C9FC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7,3%</w:t>
            </w:r>
          </w:p>
        </w:tc>
        <w:tc>
          <w:tcPr>
            <w:tcW w:w="726" w:type="dxa"/>
            <w:gridSpan w:val="2"/>
          </w:tcPr>
          <w:p w14:paraId="023A488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41</w:t>
            </w:r>
          </w:p>
        </w:tc>
        <w:tc>
          <w:tcPr>
            <w:tcW w:w="738" w:type="dxa"/>
          </w:tcPr>
          <w:p w14:paraId="10FDDFA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8</w:t>
            </w:r>
          </w:p>
        </w:tc>
        <w:tc>
          <w:tcPr>
            <w:tcW w:w="768" w:type="dxa"/>
          </w:tcPr>
          <w:p w14:paraId="7678E2E1"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19,5%</w:t>
            </w:r>
          </w:p>
        </w:tc>
        <w:tc>
          <w:tcPr>
            <w:tcW w:w="768" w:type="dxa"/>
          </w:tcPr>
          <w:p w14:paraId="16A4B5D8"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7,9%</w:t>
            </w:r>
          </w:p>
        </w:tc>
      </w:tr>
      <w:tr w:rsidR="00E440CE" w:rsidRPr="00ED7B99" w14:paraId="6C54A415"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1AE6331A"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9</w:t>
            </w:r>
          </w:p>
        </w:tc>
        <w:tc>
          <w:tcPr>
            <w:tcW w:w="1098" w:type="dxa"/>
          </w:tcPr>
          <w:p w14:paraId="0C432146"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Zapadno-hercegovački</w:t>
            </w:r>
          </w:p>
        </w:tc>
        <w:tc>
          <w:tcPr>
            <w:tcW w:w="744" w:type="dxa"/>
          </w:tcPr>
          <w:p w14:paraId="0660301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400.000</w:t>
            </w:r>
          </w:p>
        </w:tc>
        <w:tc>
          <w:tcPr>
            <w:tcW w:w="744" w:type="dxa"/>
          </w:tcPr>
          <w:p w14:paraId="33214B3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480.000</w:t>
            </w:r>
          </w:p>
        </w:tc>
        <w:tc>
          <w:tcPr>
            <w:tcW w:w="744" w:type="dxa"/>
          </w:tcPr>
          <w:p w14:paraId="1F4EDED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200.000</w:t>
            </w:r>
          </w:p>
        </w:tc>
        <w:tc>
          <w:tcPr>
            <w:tcW w:w="744" w:type="dxa"/>
          </w:tcPr>
          <w:p w14:paraId="2FC8770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992.776</w:t>
            </w:r>
          </w:p>
        </w:tc>
        <w:tc>
          <w:tcPr>
            <w:tcW w:w="514" w:type="dxa"/>
          </w:tcPr>
          <w:p w14:paraId="388A86C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35626913"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2.072.776</w:t>
            </w:r>
          </w:p>
        </w:tc>
        <w:tc>
          <w:tcPr>
            <w:tcW w:w="591" w:type="dxa"/>
          </w:tcPr>
          <w:p w14:paraId="1B65C86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8,3%</w:t>
            </w:r>
          </w:p>
        </w:tc>
        <w:tc>
          <w:tcPr>
            <w:tcW w:w="726" w:type="dxa"/>
            <w:gridSpan w:val="2"/>
          </w:tcPr>
          <w:p w14:paraId="2AC5203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51</w:t>
            </w:r>
          </w:p>
        </w:tc>
        <w:tc>
          <w:tcPr>
            <w:tcW w:w="738" w:type="dxa"/>
          </w:tcPr>
          <w:p w14:paraId="67716B7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11</w:t>
            </w:r>
          </w:p>
        </w:tc>
        <w:tc>
          <w:tcPr>
            <w:tcW w:w="768" w:type="dxa"/>
          </w:tcPr>
          <w:p w14:paraId="0534A8B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21,6%</w:t>
            </w:r>
          </w:p>
        </w:tc>
        <w:tc>
          <w:tcPr>
            <w:tcW w:w="768" w:type="dxa"/>
          </w:tcPr>
          <w:p w14:paraId="503A6C2C"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10,9%</w:t>
            </w:r>
          </w:p>
        </w:tc>
      </w:tr>
      <w:tr w:rsidR="00E440CE" w:rsidRPr="00ED7B99" w14:paraId="2F0687B8"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tcPr>
          <w:p w14:paraId="06279A24"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10</w:t>
            </w:r>
          </w:p>
        </w:tc>
        <w:tc>
          <w:tcPr>
            <w:tcW w:w="1098" w:type="dxa"/>
          </w:tcPr>
          <w:p w14:paraId="385108C2"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Zeničko-dobojski</w:t>
            </w:r>
          </w:p>
        </w:tc>
        <w:tc>
          <w:tcPr>
            <w:tcW w:w="744" w:type="dxa"/>
          </w:tcPr>
          <w:p w14:paraId="17C9BE5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955.000</w:t>
            </w:r>
          </w:p>
        </w:tc>
        <w:tc>
          <w:tcPr>
            <w:tcW w:w="744" w:type="dxa"/>
          </w:tcPr>
          <w:p w14:paraId="3198BEF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1.528.700</w:t>
            </w:r>
          </w:p>
        </w:tc>
        <w:tc>
          <w:tcPr>
            <w:tcW w:w="744" w:type="dxa"/>
          </w:tcPr>
          <w:p w14:paraId="4BE3DB82"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1.184.025</w:t>
            </w:r>
          </w:p>
        </w:tc>
        <w:tc>
          <w:tcPr>
            <w:tcW w:w="744" w:type="dxa"/>
          </w:tcPr>
          <w:p w14:paraId="7F68DDC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2.305.310</w:t>
            </w:r>
          </w:p>
        </w:tc>
        <w:tc>
          <w:tcPr>
            <w:tcW w:w="514" w:type="dxa"/>
          </w:tcPr>
          <w:p w14:paraId="7510BCB5"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 </w:t>
            </w:r>
          </w:p>
        </w:tc>
        <w:tc>
          <w:tcPr>
            <w:tcW w:w="811" w:type="dxa"/>
          </w:tcPr>
          <w:p w14:paraId="1E246C8F"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5.973.035</w:t>
            </w:r>
          </w:p>
        </w:tc>
        <w:tc>
          <w:tcPr>
            <w:tcW w:w="591" w:type="dxa"/>
          </w:tcPr>
          <w:p w14:paraId="766566B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23,9%</w:t>
            </w:r>
          </w:p>
        </w:tc>
        <w:tc>
          <w:tcPr>
            <w:tcW w:w="726" w:type="dxa"/>
            <w:gridSpan w:val="2"/>
          </w:tcPr>
          <w:p w14:paraId="2B22603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98</w:t>
            </w:r>
          </w:p>
        </w:tc>
        <w:tc>
          <w:tcPr>
            <w:tcW w:w="738" w:type="dxa"/>
          </w:tcPr>
          <w:p w14:paraId="60D2AB0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26</w:t>
            </w:r>
          </w:p>
        </w:tc>
        <w:tc>
          <w:tcPr>
            <w:tcW w:w="768" w:type="dxa"/>
          </w:tcPr>
          <w:p w14:paraId="0CF8CF9E"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26,5%</w:t>
            </w:r>
          </w:p>
        </w:tc>
        <w:tc>
          <w:tcPr>
            <w:tcW w:w="768" w:type="dxa"/>
          </w:tcPr>
          <w:p w14:paraId="40419539"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25,7%</w:t>
            </w:r>
          </w:p>
        </w:tc>
      </w:tr>
      <w:tr w:rsidR="00E440CE" w:rsidRPr="00ED7B99" w14:paraId="32FBEBCA" w14:textId="77777777" w:rsidTr="00A63412">
        <w:trPr>
          <w:trHeight w:val="405"/>
        </w:trPr>
        <w:tc>
          <w:tcPr>
            <w:cnfStyle w:val="001000000000" w:firstRow="0" w:lastRow="0" w:firstColumn="1" w:lastColumn="0" w:oddVBand="0" w:evenVBand="0" w:oddHBand="0" w:evenHBand="0" w:firstRowFirstColumn="0" w:firstRowLastColumn="0" w:lastRowFirstColumn="0" w:lastRowLastColumn="0"/>
            <w:tcW w:w="359" w:type="dxa"/>
            <w:shd w:val="clear" w:color="auto" w:fill="BCD9DE" w:themeFill="accent5" w:themeFillTint="66"/>
          </w:tcPr>
          <w:p w14:paraId="289179C8" w14:textId="77777777" w:rsidR="00E440CE" w:rsidRPr="00ED7B99" w:rsidRDefault="003422A9">
            <w:pPr>
              <w:jc w:val="both"/>
              <w:rPr>
                <w:rFonts w:asciiTheme="majorHAnsi" w:hAnsiTheme="majorHAnsi" w:cstheme="majorHAnsi"/>
                <w:sz w:val="14"/>
                <w:szCs w:val="14"/>
              </w:rPr>
            </w:pPr>
            <w:r w:rsidRPr="00ED7B99">
              <w:rPr>
                <w:rFonts w:asciiTheme="majorHAnsi" w:hAnsiTheme="majorHAnsi" w:cstheme="majorHAnsi"/>
                <w:sz w:val="14"/>
                <w:szCs w:val="14"/>
              </w:rPr>
              <w:t> </w:t>
            </w:r>
          </w:p>
        </w:tc>
        <w:tc>
          <w:tcPr>
            <w:tcW w:w="1098" w:type="dxa"/>
            <w:shd w:val="clear" w:color="auto" w:fill="BCD9DE" w:themeFill="accent5" w:themeFillTint="66"/>
          </w:tcPr>
          <w:p w14:paraId="6FF9C29F"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UKUPNO</w:t>
            </w:r>
          </w:p>
        </w:tc>
        <w:tc>
          <w:tcPr>
            <w:tcW w:w="744" w:type="dxa"/>
            <w:shd w:val="clear" w:color="auto" w:fill="BCD9DE" w:themeFill="accent5" w:themeFillTint="66"/>
          </w:tcPr>
          <w:p w14:paraId="5BAC4D3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3.318.271</w:t>
            </w:r>
          </w:p>
        </w:tc>
        <w:tc>
          <w:tcPr>
            <w:tcW w:w="744" w:type="dxa"/>
            <w:shd w:val="clear" w:color="auto" w:fill="BCD9DE" w:themeFill="accent5" w:themeFillTint="66"/>
          </w:tcPr>
          <w:p w14:paraId="7C1B0FC4"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6.653.120</w:t>
            </w:r>
          </w:p>
        </w:tc>
        <w:tc>
          <w:tcPr>
            <w:tcW w:w="744" w:type="dxa"/>
            <w:shd w:val="clear" w:color="auto" w:fill="BCD9DE" w:themeFill="accent5" w:themeFillTint="66"/>
          </w:tcPr>
          <w:p w14:paraId="3538DBC6"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3.440.941</w:t>
            </w:r>
          </w:p>
        </w:tc>
        <w:tc>
          <w:tcPr>
            <w:tcW w:w="744" w:type="dxa"/>
            <w:shd w:val="clear" w:color="auto" w:fill="BCD9DE" w:themeFill="accent5" w:themeFillTint="66"/>
          </w:tcPr>
          <w:p w14:paraId="61540149"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8.160.083</w:t>
            </w:r>
          </w:p>
        </w:tc>
        <w:tc>
          <w:tcPr>
            <w:tcW w:w="514" w:type="dxa"/>
            <w:shd w:val="clear" w:color="auto" w:fill="BCD9DE" w:themeFill="accent5" w:themeFillTint="66"/>
          </w:tcPr>
          <w:p w14:paraId="6EC23CDC"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0</w:t>
            </w:r>
          </w:p>
        </w:tc>
        <w:tc>
          <w:tcPr>
            <w:tcW w:w="811" w:type="dxa"/>
            <w:shd w:val="clear" w:color="auto" w:fill="BCD9DE" w:themeFill="accent5" w:themeFillTint="66"/>
          </w:tcPr>
          <w:p w14:paraId="2CA5C0FB"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21.572.415</w:t>
            </w:r>
          </w:p>
        </w:tc>
        <w:tc>
          <w:tcPr>
            <w:tcW w:w="591" w:type="dxa"/>
            <w:shd w:val="clear" w:color="auto" w:fill="BCD9DE" w:themeFill="accent5" w:themeFillTint="66"/>
          </w:tcPr>
          <w:p w14:paraId="6DE916CD"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86,1%</w:t>
            </w:r>
          </w:p>
        </w:tc>
        <w:tc>
          <w:tcPr>
            <w:tcW w:w="726" w:type="dxa"/>
            <w:gridSpan w:val="2"/>
            <w:shd w:val="clear" w:color="auto" w:fill="BCD9DE" w:themeFill="accent5" w:themeFillTint="66"/>
          </w:tcPr>
          <w:p w14:paraId="221CAA7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509</w:t>
            </w:r>
          </w:p>
        </w:tc>
        <w:tc>
          <w:tcPr>
            <w:tcW w:w="738" w:type="dxa"/>
            <w:shd w:val="clear" w:color="auto" w:fill="BCD9DE" w:themeFill="accent5" w:themeFillTint="66"/>
          </w:tcPr>
          <w:p w14:paraId="40C4519A"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101</w:t>
            </w:r>
          </w:p>
        </w:tc>
        <w:tc>
          <w:tcPr>
            <w:tcW w:w="768" w:type="dxa"/>
            <w:shd w:val="clear" w:color="auto" w:fill="BCD9DE" w:themeFill="accent5" w:themeFillTint="66"/>
          </w:tcPr>
          <w:p w14:paraId="467B4787" w14:textId="77777777" w:rsidR="00E440CE" w:rsidRPr="00ED7B99" w:rsidRDefault="003422A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19,8%</w:t>
            </w:r>
          </w:p>
        </w:tc>
        <w:tc>
          <w:tcPr>
            <w:tcW w:w="768" w:type="dxa"/>
            <w:shd w:val="clear" w:color="auto" w:fill="BCD9DE" w:themeFill="accent5" w:themeFillTint="66"/>
          </w:tcPr>
          <w:p w14:paraId="0273E3EF" w14:textId="77777777" w:rsidR="00E440CE" w:rsidRPr="00ED7B99" w:rsidRDefault="003422A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4"/>
              </w:rPr>
            </w:pPr>
            <w:r w:rsidRPr="00ED7B99">
              <w:rPr>
                <w:rFonts w:asciiTheme="majorHAnsi" w:hAnsiTheme="majorHAnsi" w:cstheme="majorHAnsi"/>
                <w:sz w:val="14"/>
                <w:szCs w:val="14"/>
              </w:rPr>
              <w:t>100,0%</w:t>
            </w:r>
          </w:p>
        </w:tc>
      </w:tr>
    </w:tbl>
    <w:p w14:paraId="0591856C" w14:textId="77777777" w:rsidR="00E440CE" w:rsidRPr="00ED7B99" w:rsidRDefault="00E440CE">
      <w:pPr>
        <w:rPr>
          <w:rFonts w:asciiTheme="majorHAnsi" w:hAnsiTheme="majorHAnsi" w:cstheme="majorHAnsi"/>
        </w:rPr>
      </w:pPr>
    </w:p>
    <w:p w14:paraId="3AB82CF8" w14:textId="77777777" w:rsidR="00E440CE" w:rsidRPr="00ED7B99" w:rsidRDefault="003422A9">
      <w:pPr>
        <w:spacing w:after="0" w:line="276" w:lineRule="auto"/>
        <w:jc w:val="both"/>
        <w:rPr>
          <w:rFonts w:asciiTheme="majorHAnsi" w:hAnsiTheme="majorHAnsi" w:cstheme="majorHAnsi"/>
        </w:rPr>
      </w:pPr>
      <w:r w:rsidRPr="00ED7B99">
        <w:rPr>
          <w:rFonts w:asciiTheme="majorHAnsi" w:hAnsiTheme="majorHAnsi" w:cstheme="majorHAnsi"/>
        </w:rPr>
        <w:t>Kreditni program imao je za cilj da pruži financijsku podršku subjektima male privrede za produktivnije poslovanje i rast privrednih aktivnosti, a neophodna su im dodatna ulaganja u osnovna sredstva. Dodatna ulaganja omogućila su pokretanje nove i održavanje postojeće proizvodnje, pružanja usluga, veće iskorištenje kapaciteta, održavanje postojećih radnih mjesta, očuvanje postojećeg broja subjekata male privrede, prevazilaženje negativnih učinaka ekonomske krize, novo upošljavanje i povećanje izvoza. Kredit se daje na bazi komisione kreditne linije koja se koristi putem Razvojne banke Federacije BiH. Do 30% odobrenih kreditnih sredstava subjekti male privrede mogu  koristiti za nabavku repromaterijala.</w:t>
      </w:r>
    </w:p>
    <w:p w14:paraId="46A1EA6E" w14:textId="50488AFA" w:rsidR="00E440CE" w:rsidRPr="00ED7B99" w:rsidRDefault="00E440CE">
      <w:pPr>
        <w:rPr>
          <w:rFonts w:asciiTheme="majorHAnsi" w:hAnsiTheme="majorHAnsi" w:cstheme="majorHAnsi"/>
          <w:color w:val="FF0000"/>
        </w:rPr>
      </w:pPr>
    </w:p>
    <w:p w14:paraId="0A0889E4" w14:textId="2B5CD5DE" w:rsidR="008A1073" w:rsidRPr="00A63412" w:rsidRDefault="00A63412" w:rsidP="00A63412">
      <w:pPr>
        <w:pStyle w:val="Heading2"/>
      </w:pPr>
      <w:bookmarkStart w:id="37" w:name="_Toc117458933"/>
      <w:r>
        <w:t>3</w:t>
      </w:r>
      <w:r w:rsidR="008A1073" w:rsidRPr="00A63412">
        <w:t>.3. Raspodjela finansijske pomoći prema Uredbi o mjerama finansijske pomoći obrtima i ostalim samostalnim djelatnostima u FBiH u cilju ublažavanja negativnih posljedica pandemije COVID-19</w:t>
      </w:r>
      <w:bookmarkEnd w:id="37"/>
    </w:p>
    <w:p w14:paraId="1F7F64C3" w14:textId="77777777" w:rsidR="008A1073" w:rsidRPr="00ED7B99" w:rsidRDefault="008A1073">
      <w:pPr>
        <w:rPr>
          <w:rFonts w:asciiTheme="majorHAnsi" w:hAnsiTheme="majorHAnsi" w:cstheme="majorHAnsi"/>
        </w:rPr>
      </w:pPr>
    </w:p>
    <w:p w14:paraId="55F3BD36" w14:textId="2409FEA9" w:rsidR="008A1073" w:rsidRPr="00ED7B99" w:rsidRDefault="008A1073" w:rsidP="008A1073">
      <w:pPr>
        <w:jc w:val="both"/>
        <w:rPr>
          <w:rFonts w:asciiTheme="majorHAnsi" w:hAnsiTheme="majorHAnsi" w:cstheme="majorHAnsi"/>
        </w:rPr>
      </w:pPr>
      <w:r w:rsidRPr="00ED7B99">
        <w:rPr>
          <w:rFonts w:asciiTheme="majorHAnsi" w:hAnsiTheme="majorHAnsi" w:cstheme="majorHAnsi"/>
        </w:rPr>
        <w:t xml:space="preserve">Uslijed nastanka COVID-19 pandemije 2020. godine koja je ostavila negativne posljedice na poslovanje subjekata male privrede u Federaciji BiH, Vlada Federacije Bosne i Hercegovine je 27.10.2021.godine donijela Uredbu o mjerama finansijske pomoći obrtima i ostalim samostalnim djelatnostima u Federaciji Bosne i Hercegovine u cilju ublažavanja negativnih posljedica pandemije COVID-19 („Službene novine Federacije BiH", br. 87/21;89/21 isp i 90/21 isp). Cilj dodjele finansijske pomoći u skladu sa navedenom Uredbom bio je opstanak obrta i ostalih samostalnih djelatnosti, očuvanje radnih mjesta, te osiguranje podrške likvidnosti u svrhu ublažavanja negativnih posljedica pandemije COVID-19. Pravo na dodjelu finansijske pomoći po ovoj uredbi ostvarili su svi obrti i ostale samostalne djelatnosti, koje su uredno izmirivale svoje obaveze po osnovu direktnih i indirektnih poreza i koje su očuvale radna mjesta, a na osnovu službenih evidencija Porezne uprave Federacije BiH, kao i Uprave za indirektno oporezivanje Bosne i Hercegovine. </w:t>
      </w:r>
    </w:p>
    <w:p w14:paraId="2E7B53FD" w14:textId="1153E808" w:rsidR="008A1073" w:rsidRPr="00ED7B99" w:rsidRDefault="008A1073" w:rsidP="00E45602">
      <w:pPr>
        <w:jc w:val="both"/>
        <w:rPr>
          <w:rFonts w:asciiTheme="majorHAnsi" w:hAnsiTheme="majorHAnsi" w:cstheme="majorHAnsi"/>
        </w:rPr>
      </w:pPr>
      <w:r w:rsidRPr="00ED7B99">
        <w:rPr>
          <w:rFonts w:asciiTheme="majorHAnsi" w:hAnsiTheme="majorHAnsi" w:cstheme="majorHAnsi"/>
        </w:rPr>
        <w:t xml:space="preserve">Dodjela finansijske pomoći elektronskim putem i korištenjem portala </w:t>
      </w:r>
      <w:hyperlink r:id="rId13" w:history="1">
        <w:r w:rsidRPr="00ED7B99">
          <w:rPr>
            <w:rStyle w:val="Hyperlink"/>
            <w:rFonts w:asciiTheme="majorHAnsi" w:hAnsiTheme="majorHAnsi" w:cstheme="majorHAnsi"/>
          </w:rPr>
          <w:t>https://finpomoc2021.fmrpo.gov.ba/</w:t>
        </w:r>
      </w:hyperlink>
      <w:r w:rsidRPr="00ED7B99">
        <w:rPr>
          <w:rFonts w:asciiTheme="majorHAnsi" w:hAnsiTheme="majorHAnsi" w:cstheme="majorHAnsi"/>
        </w:rPr>
        <w:t xml:space="preserve"> </w:t>
      </w:r>
      <w:r w:rsidR="007E1B9B" w:rsidRPr="00ED7B99">
        <w:rPr>
          <w:rFonts w:asciiTheme="majorHAnsi" w:hAnsiTheme="majorHAnsi" w:cstheme="majorHAnsi"/>
        </w:rPr>
        <w:t xml:space="preserve"> </w:t>
      </w:r>
      <w:r w:rsidRPr="00ED7B99">
        <w:rPr>
          <w:rFonts w:asciiTheme="majorHAnsi" w:hAnsiTheme="majorHAnsi" w:cstheme="majorHAnsi"/>
        </w:rPr>
        <w:t xml:space="preserve"> bez dostavljanja bilo kakve dokumentacije, a na osnovu službenih evidencija, provedena je po prvi put u Federaciji BiH izuzetno uspješno, što je svojevrsna novina i značajno olakšanje subjektima male privrede registrovanih kao samostalne djelatnosti. Ukupan iznos isplaćene finansijske pomoći je 59.999.335,49 KM za 24.766 subjekata- obrta i ostalih samostalnih djelatnosti, čime je podržano ukupno 44.056 radnih mjesta u Federaciji BiH, od čega se 60% odnosi na obrtnike, kao najveću skupinu subjekata male privrede registrovanih kao fizička lica odnosno samostalnih djelatnosti.</w:t>
      </w:r>
    </w:p>
    <w:p w14:paraId="018D537B" w14:textId="3C7C6729" w:rsidR="008A1073" w:rsidRPr="00ED7B99" w:rsidRDefault="007E1B9B">
      <w:pPr>
        <w:rPr>
          <w:rFonts w:asciiTheme="majorHAnsi" w:hAnsiTheme="majorHAnsi" w:cstheme="majorHAnsi"/>
        </w:rPr>
      </w:pPr>
      <w:r w:rsidRPr="00ED7B99">
        <w:rPr>
          <w:rFonts w:asciiTheme="majorHAnsi" w:hAnsiTheme="majorHAnsi" w:cstheme="majorHAnsi"/>
        </w:rPr>
        <w:lastRenderedPageBreak/>
        <w:t>Ukupan broj korisnika finansijske pomoći po kantonima u Federaciji BiH dat je u narednoj tabeli</w:t>
      </w:r>
    </w:p>
    <w:p w14:paraId="28E528A2" w14:textId="2F818E7B" w:rsidR="00A63412" w:rsidRDefault="00A63412" w:rsidP="00A63412">
      <w:pPr>
        <w:pStyle w:val="Caption"/>
        <w:keepNext/>
      </w:pPr>
      <w:r>
        <w:t xml:space="preserve">Tabela </w:t>
      </w:r>
      <w:fldSimple w:instr=" SEQ Tabela \* ARABIC ">
        <w:r w:rsidR="00DB6BC6">
          <w:rPr>
            <w:noProof/>
          </w:rPr>
          <w:t>27</w:t>
        </w:r>
      </w:fldSimple>
      <w:r>
        <w:t xml:space="preserve">. </w:t>
      </w:r>
      <w:r w:rsidRPr="004F5144">
        <w:t>Pregled  broja korisnika finansijske pomoći po kantonima u FBiH</w:t>
      </w:r>
    </w:p>
    <w:tbl>
      <w:tblPr>
        <w:tblStyle w:val="afe"/>
        <w:tblW w:w="5000" w:type="pct"/>
        <w:tblBorders>
          <w:top w:val="single" w:sz="4" w:space="0" w:color="B5C1DF"/>
          <w:left w:val="single" w:sz="4" w:space="0" w:color="B5C1DF"/>
          <w:bottom w:val="single" w:sz="4" w:space="0" w:color="B5C1DF"/>
          <w:right w:val="single" w:sz="4" w:space="0" w:color="B5C1DF"/>
          <w:insideH w:val="single" w:sz="4" w:space="0" w:color="B5C1DF"/>
          <w:insideV w:val="single" w:sz="4" w:space="0" w:color="B5C1DF"/>
        </w:tblBorders>
        <w:tblLook w:val="04A0" w:firstRow="1" w:lastRow="0" w:firstColumn="1" w:lastColumn="0" w:noHBand="0" w:noVBand="1"/>
      </w:tblPr>
      <w:tblGrid>
        <w:gridCol w:w="483"/>
        <w:gridCol w:w="2831"/>
        <w:gridCol w:w="1358"/>
        <w:gridCol w:w="2339"/>
        <w:gridCol w:w="2339"/>
      </w:tblGrid>
      <w:tr w:rsidR="007E1B9B" w:rsidRPr="00ED7B99" w14:paraId="739939DD" w14:textId="223CE791" w:rsidTr="00A63412">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8" w:type="pct"/>
            <w:shd w:val="clear" w:color="auto" w:fill="BCD9DE" w:themeFill="accent5" w:themeFillTint="66"/>
          </w:tcPr>
          <w:p w14:paraId="5B9368AA"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Rb</w:t>
            </w:r>
          </w:p>
        </w:tc>
        <w:tc>
          <w:tcPr>
            <w:tcW w:w="1514" w:type="pct"/>
            <w:shd w:val="clear" w:color="auto" w:fill="BCD9DE" w:themeFill="accent5" w:themeFillTint="66"/>
          </w:tcPr>
          <w:p w14:paraId="41231C45" w14:textId="77777777" w:rsidR="007E1B9B" w:rsidRPr="00ED7B99" w:rsidRDefault="007E1B9B" w:rsidP="007E1B9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Kanton/Županija</w:t>
            </w:r>
          </w:p>
        </w:tc>
        <w:tc>
          <w:tcPr>
            <w:tcW w:w="726" w:type="pct"/>
            <w:shd w:val="clear" w:color="auto" w:fill="BCD9DE" w:themeFill="accent5" w:themeFillTint="66"/>
          </w:tcPr>
          <w:p w14:paraId="7B006D16" w14:textId="0937E808" w:rsidR="007E1B9B" w:rsidRPr="00ED7B99" w:rsidRDefault="007E1B9B" w:rsidP="007E1B9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Broj korisnika</w:t>
            </w:r>
          </w:p>
        </w:tc>
        <w:tc>
          <w:tcPr>
            <w:tcW w:w="1251" w:type="pct"/>
            <w:shd w:val="clear" w:color="auto" w:fill="BCD9DE" w:themeFill="accent5" w:themeFillTint="66"/>
          </w:tcPr>
          <w:p w14:paraId="3B9FBF0D" w14:textId="72CC13F1" w:rsidR="007E1B9B" w:rsidRPr="00ED7B99" w:rsidRDefault="007E1B9B" w:rsidP="007E1B9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Iznos finansijske pomoći</w:t>
            </w:r>
          </w:p>
        </w:tc>
        <w:tc>
          <w:tcPr>
            <w:tcW w:w="1251" w:type="pct"/>
            <w:shd w:val="clear" w:color="auto" w:fill="BCD9DE" w:themeFill="accent5" w:themeFillTint="66"/>
          </w:tcPr>
          <w:p w14:paraId="158C613F" w14:textId="74454C6C" w:rsidR="007E1B9B" w:rsidRPr="00ED7B99" w:rsidRDefault="007E1B9B" w:rsidP="007E1B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w:t>
            </w:r>
          </w:p>
        </w:tc>
      </w:tr>
      <w:tr w:rsidR="007E1B9B" w:rsidRPr="00ED7B99" w14:paraId="4C0ACEFC" w14:textId="5C02A463"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584DB644"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1</w:t>
            </w:r>
          </w:p>
        </w:tc>
        <w:tc>
          <w:tcPr>
            <w:tcW w:w="1514" w:type="pct"/>
          </w:tcPr>
          <w:p w14:paraId="38562698"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Bosansko-podrinjski</w:t>
            </w:r>
          </w:p>
        </w:tc>
        <w:tc>
          <w:tcPr>
            <w:tcW w:w="726" w:type="pct"/>
          </w:tcPr>
          <w:p w14:paraId="5C137187" w14:textId="2E986715"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318</w:t>
            </w:r>
          </w:p>
        </w:tc>
        <w:tc>
          <w:tcPr>
            <w:tcW w:w="1251" w:type="pct"/>
          </w:tcPr>
          <w:p w14:paraId="638DD53B" w14:textId="77B07298"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595.939,85</w:t>
            </w:r>
          </w:p>
        </w:tc>
        <w:tc>
          <w:tcPr>
            <w:tcW w:w="1251" w:type="pct"/>
            <w:vAlign w:val="bottom"/>
          </w:tcPr>
          <w:p w14:paraId="6C695C01" w14:textId="19F88854"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0.99</w:t>
            </w:r>
          </w:p>
        </w:tc>
      </w:tr>
      <w:tr w:rsidR="007E1B9B" w:rsidRPr="00ED7B99" w14:paraId="0424D4F7" w14:textId="7882B1F3"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55B3884A"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2</w:t>
            </w:r>
          </w:p>
        </w:tc>
        <w:tc>
          <w:tcPr>
            <w:tcW w:w="1514" w:type="pct"/>
          </w:tcPr>
          <w:p w14:paraId="63806A8E"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Hercegovačko-neretvanski</w:t>
            </w:r>
          </w:p>
        </w:tc>
        <w:tc>
          <w:tcPr>
            <w:tcW w:w="726" w:type="pct"/>
          </w:tcPr>
          <w:p w14:paraId="5084A419" w14:textId="1694B140"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2.291</w:t>
            </w:r>
          </w:p>
        </w:tc>
        <w:tc>
          <w:tcPr>
            <w:tcW w:w="1251" w:type="pct"/>
          </w:tcPr>
          <w:p w14:paraId="7AE39F29" w14:textId="71451FB6"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5.810.328,34</w:t>
            </w:r>
          </w:p>
        </w:tc>
        <w:tc>
          <w:tcPr>
            <w:tcW w:w="1251" w:type="pct"/>
            <w:vAlign w:val="bottom"/>
          </w:tcPr>
          <w:p w14:paraId="48F1BDB3" w14:textId="6E92B822"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9.68</w:t>
            </w:r>
          </w:p>
        </w:tc>
      </w:tr>
      <w:tr w:rsidR="007E1B9B" w:rsidRPr="00ED7B99" w14:paraId="31270757" w14:textId="5021CAE3"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140AB1FE"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3</w:t>
            </w:r>
          </w:p>
        </w:tc>
        <w:tc>
          <w:tcPr>
            <w:tcW w:w="1514" w:type="pct"/>
          </w:tcPr>
          <w:p w14:paraId="795B21D4"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Kanton 10</w:t>
            </w:r>
          </w:p>
        </w:tc>
        <w:tc>
          <w:tcPr>
            <w:tcW w:w="726" w:type="pct"/>
          </w:tcPr>
          <w:p w14:paraId="382DC9F0" w14:textId="016B7E29"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491</w:t>
            </w:r>
          </w:p>
        </w:tc>
        <w:tc>
          <w:tcPr>
            <w:tcW w:w="1251" w:type="pct"/>
          </w:tcPr>
          <w:p w14:paraId="71D4A1E1" w14:textId="4E497221"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993.806,30</w:t>
            </w:r>
          </w:p>
        </w:tc>
        <w:tc>
          <w:tcPr>
            <w:tcW w:w="1251" w:type="pct"/>
            <w:vAlign w:val="bottom"/>
          </w:tcPr>
          <w:p w14:paraId="3B7159A1" w14:textId="0DAEE458"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1.66</w:t>
            </w:r>
          </w:p>
        </w:tc>
      </w:tr>
      <w:tr w:rsidR="007E1B9B" w:rsidRPr="00ED7B99" w14:paraId="03E464E4" w14:textId="79C58B18"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41515D83"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4</w:t>
            </w:r>
          </w:p>
        </w:tc>
        <w:tc>
          <w:tcPr>
            <w:tcW w:w="1514" w:type="pct"/>
          </w:tcPr>
          <w:p w14:paraId="697D3A50"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Posavski</w:t>
            </w:r>
          </w:p>
        </w:tc>
        <w:tc>
          <w:tcPr>
            <w:tcW w:w="726" w:type="pct"/>
          </w:tcPr>
          <w:p w14:paraId="0432F319" w14:textId="18BBB508"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329</w:t>
            </w:r>
          </w:p>
        </w:tc>
        <w:tc>
          <w:tcPr>
            <w:tcW w:w="1251" w:type="pct"/>
          </w:tcPr>
          <w:p w14:paraId="6259C7C9" w14:textId="6CAB8B04"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764.476,38</w:t>
            </w:r>
          </w:p>
        </w:tc>
        <w:tc>
          <w:tcPr>
            <w:tcW w:w="1251" w:type="pct"/>
            <w:vAlign w:val="bottom"/>
          </w:tcPr>
          <w:p w14:paraId="2A761BAB" w14:textId="097ABE57"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1.27</w:t>
            </w:r>
          </w:p>
        </w:tc>
      </w:tr>
      <w:tr w:rsidR="007E1B9B" w:rsidRPr="00ED7B99" w14:paraId="6A15029E" w14:textId="30942B06"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6BFF2A36"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5</w:t>
            </w:r>
          </w:p>
        </w:tc>
        <w:tc>
          <w:tcPr>
            <w:tcW w:w="1514" w:type="pct"/>
          </w:tcPr>
          <w:p w14:paraId="370339FA"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Sarajevo</w:t>
            </w:r>
          </w:p>
        </w:tc>
        <w:tc>
          <w:tcPr>
            <w:tcW w:w="726" w:type="pct"/>
          </w:tcPr>
          <w:p w14:paraId="11D3F614" w14:textId="65EE80CB"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5.425</w:t>
            </w:r>
          </w:p>
        </w:tc>
        <w:tc>
          <w:tcPr>
            <w:tcW w:w="1251" w:type="pct"/>
          </w:tcPr>
          <w:p w14:paraId="5466BC11" w14:textId="2A73CE18"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13.505.220,61</w:t>
            </w:r>
          </w:p>
        </w:tc>
        <w:tc>
          <w:tcPr>
            <w:tcW w:w="1251" w:type="pct"/>
            <w:vAlign w:val="bottom"/>
          </w:tcPr>
          <w:p w14:paraId="3F43532E" w14:textId="44E4D630"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22.51</w:t>
            </w:r>
          </w:p>
        </w:tc>
      </w:tr>
      <w:tr w:rsidR="007E1B9B" w:rsidRPr="00ED7B99" w14:paraId="2EDA3EC1" w14:textId="256AF87B"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43126487"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6</w:t>
            </w:r>
          </w:p>
        </w:tc>
        <w:tc>
          <w:tcPr>
            <w:tcW w:w="1514" w:type="pct"/>
          </w:tcPr>
          <w:p w14:paraId="33A775EC"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Srednjobosanski</w:t>
            </w:r>
          </w:p>
        </w:tc>
        <w:tc>
          <w:tcPr>
            <w:tcW w:w="726" w:type="pct"/>
          </w:tcPr>
          <w:p w14:paraId="3A63A145" w14:textId="747F5F95"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2.812</w:t>
            </w:r>
          </w:p>
        </w:tc>
        <w:tc>
          <w:tcPr>
            <w:tcW w:w="1251" w:type="pct"/>
          </w:tcPr>
          <w:p w14:paraId="1B8F65FF" w14:textId="7EE7EF25"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6.561.232,36</w:t>
            </w:r>
          </w:p>
        </w:tc>
        <w:tc>
          <w:tcPr>
            <w:tcW w:w="1251" w:type="pct"/>
            <w:vAlign w:val="bottom"/>
          </w:tcPr>
          <w:p w14:paraId="13CB4D6B" w14:textId="19F9CD53"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10.94</w:t>
            </w:r>
          </w:p>
        </w:tc>
      </w:tr>
      <w:tr w:rsidR="007E1B9B" w:rsidRPr="00ED7B99" w14:paraId="2E60BF5E" w14:textId="66C33EBE"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05A635B4"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7</w:t>
            </w:r>
          </w:p>
        </w:tc>
        <w:tc>
          <w:tcPr>
            <w:tcW w:w="1514" w:type="pct"/>
          </w:tcPr>
          <w:p w14:paraId="5466F339"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Tuzlanski</w:t>
            </w:r>
          </w:p>
        </w:tc>
        <w:tc>
          <w:tcPr>
            <w:tcW w:w="726" w:type="pct"/>
          </w:tcPr>
          <w:p w14:paraId="0C8DB614" w14:textId="532D082E"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4.733</w:t>
            </w:r>
          </w:p>
        </w:tc>
        <w:tc>
          <w:tcPr>
            <w:tcW w:w="1251" w:type="pct"/>
          </w:tcPr>
          <w:p w14:paraId="69DD7D66" w14:textId="19015187"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12.083.114,26</w:t>
            </w:r>
          </w:p>
        </w:tc>
        <w:tc>
          <w:tcPr>
            <w:tcW w:w="1251" w:type="pct"/>
            <w:vAlign w:val="bottom"/>
          </w:tcPr>
          <w:p w14:paraId="6B4AE7B2" w14:textId="1F46B37C"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20.14</w:t>
            </w:r>
          </w:p>
        </w:tc>
      </w:tr>
      <w:tr w:rsidR="007E1B9B" w:rsidRPr="00ED7B99" w14:paraId="5AEB0225" w14:textId="3836D92F"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509A3949"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8</w:t>
            </w:r>
          </w:p>
        </w:tc>
        <w:tc>
          <w:tcPr>
            <w:tcW w:w="1514" w:type="pct"/>
          </w:tcPr>
          <w:p w14:paraId="479491F1"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Unsko-sanski</w:t>
            </w:r>
          </w:p>
        </w:tc>
        <w:tc>
          <w:tcPr>
            <w:tcW w:w="726" w:type="pct"/>
          </w:tcPr>
          <w:p w14:paraId="29AF9E06" w14:textId="1F5A3408"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2.337</w:t>
            </w:r>
          </w:p>
        </w:tc>
        <w:tc>
          <w:tcPr>
            <w:tcW w:w="1251" w:type="pct"/>
          </w:tcPr>
          <w:p w14:paraId="0DC546C4" w14:textId="5F5439B4"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5.986.355,80</w:t>
            </w:r>
          </w:p>
        </w:tc>
        <w:tc>
          <w:tcPr>
            <w:tcW w:w="1251" w:type="pct"/>
            <w:vAlign w:val="bottom"/>
          </w:tcPr>
          <w:p w14:paraId="2B36C514" w14:textId="766056B6"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9.98</w:t>
            </w:r>
          </w:p>
        </w:tc>
      </w:tr>
      <w:tr w:rsidR="007E1B9B" w:rsidRPr="00ED7B99" w14:paraId="6804F64E" w14:textId="6AB25675"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04BE22F5"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9</w:t>
            </w:r>
          </w:p>
        </w:tc>
        <w:tc>
          <w:tcPr>
            <w:tcW w:w="1514" w:type="pct"/>
          </w:tcPr>
          <w:p w14:paraId="0D4FB87F"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Zapadno-hercegovački</w:t>
            </w:r>
          </w:p>
        </w:tc>
        <w:tc>
          <w:tcPr>
            <w:tcW w:w="726" w:type="pct"/>
          </w:tcPr>
          <w:p w14:paraId="4665890C" w14:textId="4DBE4DF6"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1.296</w:t>
            </w:r>
          </w:p>
        </w:tc>
        <w:tc>
          <w:tcPr>
            <w:tcW w:w="1251" w:type="pct"/>
          </w:tcPr>
          <w:p w14:paraId="6617EB9B" w14:textId="735603B0"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2.715.458,06</w:t>
            </w:r>
          </w:p>
        </w:tc>
        <w:tc>
          <w:tcPr>
            <w:tcW w:w="1251" w:type="pct"/>
            <w:vAlign w:val="bottom"/>
          </w:tcPr>
          <w:p w14:paraId="56ABAF7A" w14:textId="68EB8CEF"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4.53</w:t>
            </w:r>
          </w:p>
        </w:tc>
      </w:tr>
      <w:tr w:rsidR="007E1B9B" w:rsidRPr="00ED7B99" w14:paraId="783C744D" w14:textId="21DF8F3B"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tcPr>
          <w:p w14:paraId="216A015A" w14:textId="77777777" w:rsidR="007E1B9B" w:rsidRPr="00ED7B99" w:rsidRDefault="007E1B9B" w:rsidP="007E1B9B">
            <w:pPr>
              <w:jc w:val="both"/>
              <w:rPr>
                <w:rFonts w:asciiTheme="majorHAnsi" w:hAnsiTheme="majorHAnsi" w:cstheme="majorHAnsi"/>
                <w:sz w:val="20"/>
                <w:szCs w:val="20"/>
              </w:rPr>
            </w:pPr>
            <w:r w:rsidRPr="00ED7B99">
              <w:rPr>
                <w:rFonts w:asciiTheme="majorHAnsi" w:hAnsiTheme="majorHAnsi" w:cstheme="majorHAnsi"/>
                <w:sz w:val="20"/>
                <w:szCs w:val="20"/>
              </w:rPr>
              <w:t>10</w:t>
            </w:r>
          </w:p>
        </w:tc>
        <w:tc>
          <w:tcPr>
            <w:tcW w:w="1514" w:type="pct"/>
          </w:tcPr>
          <w:p w14:paraId="7AC2AC90"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Zeničko-dobojski</w:t>
            </w:r>
          </w:p>
        </w:tc>
        <w:tc>
          <w:tcPr>
            <w:tcW w:w="726" w:type="pct"/>
          </w:tcPr>
          <w:p w14:paraId="19630C79" w14:textId="37A086F3"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4.734</w:t>
            </w:r>
          </w:p>
        </w:tc>
        <w:tc>
          <w:tcPr>
            <w:tcW w:w="1251" w:type="pct"/>
          </w:tcPr>
          <w:p w14:paraId="7BB96474" w14:textId="7C9363D9"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sz w:val="20"/>
                <w:szCs w:val="20"/>
              </w:rPr>
              <w:t>10.983.403,53</w:t>
            </w:r>
          </w:p>
        </w:tc>
        <w:tc>
          <w:tcPr>
            <w:tcW w:w="1251" w:type="pct"/>
            <w:vAlign w:val="bottom"/>
          </w:tcPr>
          <w:p w14:paraId="18869165" w14:textId="2F8AA0BD"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D7B99">
              <w:rPr>
                <w:rFonts w:asciiTheme="majorHAnsi" w:hAnsiTheme="majorHAnsi" w:cstheme="majorHAnsi"/>
                <w:color w:val="000000"/>
                <w:sz w:val="20"/>
                <w:szCs w:val="20"/>
              </w:rPr>
              <w:t>18.31</w:t>
            </w:r>
          </w:p>
        </w:tc>
      </w:tr>
      <w:tr w:rsidR="007E1B9B" w:rsidRPr="00ED7B99" w14:paraId="1B509288" w14:textId="07C774BC" w:rsidTr="00A63412">
        <w:trPr>
          <w:trHeight w:val="405"/>
        </w:trPr>
        <w:tc>
          <w:tcPr>
            <w:cnfStyle w:val="001000000000" w:firstRow="0" w:lastRow="0" w:firstColumn="1" w:lastColumn="0" w:oddVBand="0" w:evenVBand="0" w:oddHBand="0" w:evenHBand="0" w:firstRowFirstColumn="0" w:firstRowLastColumn="0" w:lastRowFirstColumn="0" w:lastRowLastColumn="0"/>
            <w:tcW w:w="258" w:type="pct"/>
            <w:shd w:val="clear" w:color="auto" w:fill="BCD9DE" w:themeFill="accent5" w:themeFillTint="66"/>
          </w:tcPr>
          <w:p w14:paraId="42469839" w14:textId="77777777" w:rsidR="007E1B9B" w:rsidRPr="00ED7B99" w:rsidRDefault="007E1B9B" w:rsidP="007E1B9B">
            <w:pPr>
              <w:jc w:val="both"/>
              <w:rPr>
                <w:rFonts w:asciiTheme="majorHAnsi" w:hAnsiTheme="majorHAnsi" w:cstheme="majorHAnsi"/>
                <w:bCs/>
                <w:sz w:val="20"/>
                <w:szCs w:val="20"/>
              </w:rPr>
            </w:pPr>
            <w:r w:rsidRPr="00ED7B99">
              <w:rPr>
                <w:rFonts w:asciiTheme="majorHAnsi" w:hAnsiTheme="majorHAnsi" w:cstheme="majorHAnsi"/>
                <w:bCs/>
                <w:sz w:val="20"/>
                <w:szCs w:val="20"/>
              </w:rPr>
              <w:t> </w:t>
            </w:r>
          </w:p>
        </w:tc>
        <w:tc>
          <w:tcPr>
            <w:tcW w:w="1514" w:type="pct"/>
            <w:shd w:val="clear" w:color="auto" w:fill="BCD9DE" w:themeFill="accent5" w:themeFillTint="66"/>
          </w:tcPr>
          <w:p w14:paraId="294A8C10" w14:textId="77777777" w:rsidR="007E1B9B" w:rsidRPr="00ED7B99" w:rsidRDefault="007E1B9B" w:rsidP="007E1B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ED7B99">
              <w:rPr>
                <w:rFonts w:asciiTheme="majorHAnsi" w:hAnsiTheme="majorHAnsi" w:cstheme="majorHAnsi"/>
                <w:b/>
                <w:bCs/>
                <w:sz w:val="20"/>
                <w:szCs w:val="20"/>
              </w:rPr>
              <w:t>UKUPNO</w:t>
            </w:r>
          </w:p>
        </w:tc>
        <w:tc>
          <w:tcPr>
            <w:tcW w:w="726" w:type="pct"/>
            <w:shd w:val="clear" w:color="auto" w:fill="BCD9DE" w:themeFill="accent5" w:themeFillTint="66"/>
          </w:tcPr>
          <w:p w14:paraId="2BEC14FC" w14:textId="01E3EE1C"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ED7B99">
              <w:rPr>
                <w:rFonts w:asciiTheme="majorHAnsi" w:hAnsiTheme="majorHAnsi" w:cstheme="majorHAnsi"/>
                <w:b/>
                <w:bCs/>
                <w:sz w:val="20"/>
                <w:szCs w:val="20"/>
              </w:rPr>
              <w:t>24.766</w:t>
            </w:r>
          </w:p>
        </w:tc>
        <w:tc>
          <w:tcPr>
            <w:tcW w:w="1251" w:type="pct"/>
            <w:shd w:val="clear" w:color="auto" w:fill="BCD9DE" w:themeFill="accent5" w:themeFillTint="66"/>
          </w:tcPr>
          <w:p w14:paraId="13A94709" w14:textId="03CDE4AC" w:rsidR="007E1B9B" w:rsidRPr="00ED7B99" w:rsidRDefault="007E1B9B"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ED7B99">
              <w:rPr>
                <w:rFonts w:asciiTheme="majorHAnsi" w:hAnsiTheme="majorHAnsi" w:cstheme="majorHAnsi"/>
                <w:b/>
                <w:bCs/>
                <w:sz w:val="20"/>
                <w:szCs w:val="20"/>
              </w:rPr>
              <w:t>59.999.335,49</w:t>
            </w:r>
          </w:p>
        </w:tc>
        <w:tc>
          <w:tcPr>
            <w:tcW w:w="1251" w:type="pct"/>
            <w:shd w:val="clear" w:color="auto" w:fill="BCD9DE" w:themeFill="accent5" w:themeFillTint="66"/>
          </w:tcPr>
          <w:p w14:paraId="09D5FF48" w14:textId="1A609602" w:rsidR="007E1B9B" w:rsidRPr="00ED7B99" w:rsidRDefault="00DB6BC6" w:rsidP="007E1B9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Pr>
                <w:rFonts w:asciiTheme="majorHAnsi" w:hAnsiTheme="majorHAnsi" w:cstheme="majorHAnsi"/>
                <w:b/>
                <w:bCs/>
                <w:sz w:val="20"/>
                <w:szCs w:val="20"/>
              </w:rPr>
              <w:t>100%</w:t>
            </w:r>
          </w:p>
        </w:tc>
      </w:tr>
    </w:tbl>
    <w:p w14:paraId="543DAB09" w14:textId="27189A82" w:rsidR="007E1B9B" w:rsidRPr="00ED7B99" w:rsidRDefault="00466A1B">
      <w:pPr>
        <w:rPr>
          <w:rFonts w:asciiTheme="majorHAnsi" w:hAnsiTheme="majorHAnsi" w:cstheme="majorHAnsi"/>
          <w:i/>
          <w:iCs/>
          <w:sz w:val="18"/>
          <w:szCs w:val="18"/>
        </w:rPr>
      </w:pPr>
      <w:r w:rsidRPr="00ED7B99">
        <w:rPr>
          <w:rFonts w:asciiTheme="majorHAnsi" w:hAnsiTheme="majorHAnsi" w:cstheme="majorHAnsi"/>
          <w:i/>
          <w:iCs/>
          <w:sz w:val="18"/>
          <w:szCs w:val="18"/>
        </w:rPr>
        <w:t>Izvor: Izvještaj o dodijeljenoj finansijskoj pomoći i ostvarenim efektima Uredbe o mjerama fin.pomoći, FMRPO, 2022.</w:t>
      </w:r>
    </w:p>
    <w:p w14:paraId="10D92644" w14:textId="6F150DA2" w:rsidR="007E1B9B" w:rsidRPr="00ED7B99" w:rsidRDefault="007E1B9B">
      <w:pPr>
        <w:rPr>
          <w:rFonts w:asciiTheme="majorHAnsi" w:hAnsiTheme="majorHAnsi" w:cstheme="majorHAnsi"/>
        </w:rPr>
      </w:pPr>
      <w:r w:rsidRPr="00ED7B99">
        <w:rPr>
          <w:rFonts w:asciiTheme="majorHAnsi" w:hAnsiTheme="majorHAnsi" w:cstheme="majorHAnsi"/>
        </w:rPr>
        <w:t xml:space="preserve">Najveći udio korisnika finansijske pomoći je sa područja Kantona Sarajevo, a zatim Tuzlanskog kantona, dok je najmanji broj korisnika </w:t>
      </w:r>
      <w:r w:rsidR="00466A1B" w:rsidRPr="00ED7B99">
        <w:rPr>
          <w:rFonts w:asciiTheme="majorHAnsi" w:hAnsiTheme="majorHAnsi" w:cstheme="majorHAnsi"/>
        </w:rPr>
        <w:t xml:space="preserve">sa područja BPK što je posljedica i manjeg broja obrtnika na području ovog kantona. </w:t>
      </w:r>
    </w:p>
    <w:p w14:paraId="15B8F4F8" w14:textId="75AA0591" w:rsidR="00466A1B" w:rsidRDefault="00466A1B">
      <w:pPr>
        <w:rPr>
          <w:rFonts w:asciiTheme="majorHAnsi" w:hAnsiTheme="majorHAnsi" w:cstheme="majorHAnsi"/>
        </w:rPr>
      </w:pPr>
      <w:r w:rsidRPr="00ED7B99">
        <w:rPr>
          <w:rFonts w:asciiTheme="majorHAnsi" w:hAnsiTheme="majorHAnsi" w:cstheme="majorHAnsi"/>
        </w:rPr>
        <w:t>Realizacijom navedene finansijske pomoći ostvaren je doprinos opstanku obrta i ostalih samostalnih djelatnosti, očuvanju radnih mjesta i osiguranju podrške likvidnosti u svrhu prevladavanja okolnosti koje je izazvala pandemija COVID-19.</w:t>
      </w:r>
    </w:p>
    <w:p w14:paraId="16A49027" w14:textId="77777777" w:rsidR="00056F76" w:rsidRDefault="00056F76">
      <w:pPr>
        <w:rPr>
          <w:rFonts w:asciiTheme="majorHAnsi" w:hAnsiTheme="majorHAnsi" w:cstheme="majorHAnsi"/>
        </w:rPr>
      </w:pPr>
    </w:p>
    <w:p w14:paraId="5CD18C8B" w14:textId="7AAA992C" w:rsidR="00A63412" w:rsidRDefault="00A63412" w:rsidP="000C5196">
      <w:pPr>
        <w:pStyle w:val="Heading2"/>
      </w:pPr>
      <w:bookmarkStart w:id="38" w:name="_Toc117458934"/>
      <w:r>
        <w:t>3.4. Garancijski fond Federacije BiH</w:t>
      </w:r>
      <w:bookmarkEnd w:id="38"/>
    </w:p>
    <w:p w14:paraId="44B883ED" w14:textId="77777777" w:rsidR="00056F76" w:rsidRDefault="00056F76" w:rsidP="000C5196">
      <w:pPr>
        <w:jc w:val="both"/>
        <w:rPr>
          <w:rFonts w:asciiTheme="majorHAnsi" w:hAnsiTheme="majorHAnsi" w:cstheme="majorHAnsi"/>
        </w:rPr>
      </w:pPr>
    </w:p>
    <w:p w14:paraId="7DC331D4" w14:textId="67D8114D" w:rsidR="00A63412" w:rsidRDefault="00A63412" w:rsidP="000C5196">
      <w:pPr>
        <w:jc w:val="both"/>
        <w:rPr>
          <w:rFonts w:asciiTheme="majorHAnsi" w:hAnsiTheme="majorHAnsi" w:cstheme="majorHAnsi"/>
        </w:rPr>
      </w:pPr>
      <w:r>
        <w:rPr>
          <w:rFonts w:asciiTheme="majorHAnsi" w:hAnsiTheme="majorHAnsi" w:cstheme="majorHAnsi"/>
        </w:rPr>
        <w:t>Kako bi osigurala dodatnu podršku privrednicima Federacije BiH</w:t>
      </w:r>
      <w:r w:rsidR="00056F76">
        <w:rPr>
          <w:rFonts w:asciiTheme="majorHAnsi" w:hAnsiTheme="majorHAnsi" w:cstheme="majorHAnsi"/>
        </w:rPr>
        <w:t xml:space="preserve"> </w:t>
      </w:r>
      <w:r w:rsidR="00056F76" w:rsidRPr="00056F76">
        <w:rPr>
          <w:rFonts w:asciiTheme="majorHAnsi" w:hAnsiTheme="majorHAnsi" w:cstheme="majorHAnsi"/>
        </w:rPr>
        <w:t>Vlada Federacije Bosne i Hercegovine je na 235. sjednici, održanoj 10.9.2020. godine, donijela odluke o usvajanju kreditno-garantnih programa Garancijskog fonda</w:t>
      </w:r>
      <w:r>
        <w:rPr>
          <w:rFonts w:asciiTheme="majorHAnsi" w:hAnsiTheme="majorHAnsi" w:cstheme="majorHAnsi"/>
        </w:rPr>
        <w:t xml:space="preserve"> u </w:t>
      </w:r>
      <w:r w:rsidR="00056F76">
        <w:rPr>
          <w:rFonts w:asciiTheme="majorHAnsi" w:hAnsiTheme="majorHAnsi" w:cstheme="majorHAnsi"/>
        </w:rPr>
        <w:t xml:space="preserve">svrhu </w:t>
      </w:r>
      <w:r>
        <w:rPr>
          <w:rFonts w:asciiTheme="majorHAnsi" w:hAnsiTheme="majorHAnsi" w:cstheme="majorHAnsi"/>
        </w:rPr>
        <w:t xml:space="preserve">ublažavanju negativnih posljedica </w:t>
      </w:r>
      <w:r w:rsidR="000C5196">
        <w:rPr>
          <w:rFonts w:asciiTheme="majorHAnsi" w:hAnsiTheme="majorHAnsi" w:cstheme="majorHAnsi"/>
        </w:rPr>
        <w:t xml:space="preserve">COVID 19 pandemija </w:t>
      </w:r>
      <w:r w:rsidR="00056F76">
        <w:rPr>
          <w:rFonts w:asciiTheme="majorHAnsi" w:hAnsiTheme="majorHAnsi" w:cstheme="majorHAnsi"/>
        </w:rPr>
        <w:t>p</w:t>
      </w:r>
      <w:r w:rsidR="000C5196" w:rsidRPr="000C5196">
        <w:rPr>
          <w:rFonts w:asciiTheme="majorHAnsi" w:hAnsiTheme="majorHAnsi" w:cstheme="majorHAnsi"/>
        </w:rPr>
        <w:t>rivredi u oporavku i stabilizaciji poslovanja uzrokovanih pandemijom COVID-19</w:t>
      </w:r>
      <w:r w:rsidR="00056F76">
        <w:rPr>
          <w:rFonts w:asciiTheme="majorHAnsi" w:hAnsiTheme="majorHAnsi" w:cstheme="majorHAnsi"/>
        </w:rPr>
        <w:t>.</w:t>
      </w:r>
      <w:r w:rsidR="000C5196" w:rsidRPr="000C5196">
        <w:rPr>
          <w:rFonts w:asciiTheme="majorHAnsi" w:hAnsiTheme="majorHAnsi" w:cstheme="majorHAnsi"/>
        </w:rPr>
        <w:t xml:space="preserve"> Garancijski</w:t>
      </w:r>
      <w:r w:rsidR="00056F76">
        <w:rPr>
          <w:rFonts w:asciiTheme="majorHAnsi" w:hAnsiTheme="majorHAnsi" w:cstheme="majorHAnsi"/>
        </w:rPr>
        <w:t xml:space="preserve">m </w:t>
      </w:r>
      <w:r w:rsidR="000C5196" w:rsidRPr="000C5196">
        <w:rPr>
          <w:rFonts w:asciiTheme="majorHAnsi" w:hAnsiTheme="majorHAnsi" w:cstheme="majorHAnsi"/>
        </w:rPr>
        <w:t>fond</w:t>
      </w:r>
      <w:r w:rsidR="00056F76">
        <w:rPr>
          <w:rFonts w:asciiTheme="majorHAnsi" w:hAnsiTheme="majorHAnsi" w:cstheme="majorHAnsi"/>
        </w:rPr>
        <w:t>om</w:t>
      </w:r>
      <w:r w:rsidR="000C5196" w:rsidRPr="000C5196">
        <w:rPr>
          <w:rFonts w:asciiTheme="majorHAnsi" w:hAnsiTheme="majorHAnsi" w:cstheme="majorHAnsi"/>
        </w:rPr>
        <w:t xml:space="preserve"> upravlja Vlada Federacije BiH, a administrira Razvojna banka Federacije BiH. Vlada Federacije BiH je kroz ovaj Fond, osigurala ukupno 100 miliona KM sredstava, koja služe kao primarni izvor za garancije koje Razvojna banka Federacije BiH, u ime Federacije BiH, izdaje komercijalnim bankama, za kredite koje iste odobravaju poduzetnicima tj. krajnjim korisnicima Fonda, dok se dodatna sredstva Fonda osiguravaju i kroz administriranje</w:t>
      </w:r>
      <w:r w:rsidR="000C5196">
        <w:rPr>
          <w:rFonts w:asciiTheme="majorHAnsi" w:hAnsiTheme="majorHAnsi" w:cstheme="majorHAnsi"/>
        </w:rPr>
        <w:t>.</w:t>
      </w:r>
    </w:p>
    <w:p w14:paraId="671C9A8D" w14:textId="01B8E2CA" w:rsidR="00056F76" w:rsidRDefault="00056F76" w:rsidP="000C5196">
      <w:pPr>
        <w:jc w:val="both"/>
        <w:rPr>
          <w:rFonts w:asciiTheme="majorHAnsi" w:hAnsiTheme="majorHAnsi" w:cstheme="majorHAnsi"/>
        </w:rPr>
      </w:pPr>
      <w:r>
        <w:rPr>
          <w:rFonts w:asciiTheme="majorHAnsi" w:hAnsiTheme="majorHAnsi" w:cstheme="majorHAnsi"/>
        </w:rPr>
        <w:t>U okviru Garancijskog fonda uspostavljeno je pet kreditno-garantnih programa:</w:t>
      </w:r>
    </w:p>
    <w:p w14:paraId="2CE10BF7" w14:textId="465602C5" w:rsidR="00056F76" w:rsidRDefault="00056F76" w:rsidP="00056F76">
      <w:pPr>
        <w:pStyle w:val="ListParagraph"/>
        <w:numPr>
          <w:ilvl w:val="2"/>
          <w:numId w:val="6"/>
        </w:numPr>
        <w:jc w:val="both"/>
        <w:rPr>
          <w:rFonts w:asciiTheme="majorHAnsi" w:hAnsiTheme="majorHAnsi" w:cstheme="majorHAnsi"/>
        </w:rPr>
      </w:pPr>
      <w:r>
        <w:rPr>
          <w:rFonts w:asciiTheme="majorHAnsi" w:hAnsiTheme="majorHAnsi" w:cstheme="majorHAnsi"/>
        </w:rPr>
        <w:t>Kreditno-garantni program za poljoprivredu i prehrambenu industriju</w:t>
      </w:r>
    </w:p>
    <w:p w14:paraId="4774F2A2" w14:textId="5FA65301" w:rsidR="00056F76" w:rsidRDefault="00056F76" w:rsidP="00056F76">
      <w:pPr>
        <w:pStyle w:val="ListParagraph"/>
        <w:numPr>
          <w:ilvl w:val="2"/>
          <w:numId w:val="6"/>
        </w:numPr>
        <w:jc w:val="both"/>
        <w:rPr>
          <w:rFonts w:asciiTheme="majorHAnsi" w:hAnsiTheme="majorHAnsi" w:cstheme="majorHAnsi"/>
        </w:rPr>
      </w:pPr>
      <w:r>
        <w:rPr>
          <w:rFonts w:asciiTheme="majorHAnsi" w:hAnsiTheme="majorHAnsi" w:cstheme="majorHAnsi"/>
        </w:rPr>
        <w:t>Kreditno-garantni program za mikro, mala i srednja preduzeća</w:t>
      </w:r>
    </w:p>
    <w:p w14:paraId="0ACB2854" w14:textId="605C303A" w:rsidR="00056F76" w:rsidRDefault="00056F76" w:rsidP="00056F76">
      <w:pPr>
        <w:pStyle w:val="ListParagraph"/>
        <w:numPr>
          <w:ilvl w:val="2"/>
          <w:numId w:val="6"/>
        </w:numPr>
        <w:jc w:val="both"/>
        <w:rPr>
          <w:rFonts w:asciiTheme="majorHAnsi" w:hAnsiTheme="majorHAnsi" w:cstheme="majorHAnsi"/>
        </w:rPr>
      </w:pPr>
      <w:r>
        <w:rPr>
          <w:rFonts w:asciiTheme="majorHAnsi" w:hAnsiTheme="majorHAnsi" w:cstheme="majorHAnsi"/>
        </w:rPr>
        <w:lastRenderedPageBreak/>
        <w:t>Kreditno-garantni program za obrtnike i ostale samostalne privredne djelatnosti</w:t>
      </w:r>
    </w:p>
    <w:p w14:paraId="4BB2FFC7" w14:textId="51319935" w:rsidR="00056F76" w:rsidRDefault="00056F76" w:rsidP="00056F76">
      <w:pPr>
        <w:pStyle w:val="ListParagraph"/>
        <w:numPr>
          <w:ilvl w:val="2"/>
          <w:numId w:val="6"/>
        </w:numPr>
        <w:jc w:val="both"/>
        <w:rPr>
          <w:rFonts w:asciiTheme="majorHAnsi" w:hAnsiTheme="majorHAnsi" w:cstheme="majorHAnsi"/>
        </w:rPr>
      </w:pPr>
      <w:r>
        <w:rPr>
          <w:rFonts w:asciiTheme="majorHAnsi" w:hAnsiTheme="majorHAnsi" w:cstheme="majorHAnsi"/>
        </w:rPr>
        <w:t>Kreditno-garantni program za izvoznike</w:t>
      </w:r>
    </w:p>
    <w:p w14:paraId="6CB5223F" w14:textId="10A4EA99" w:rsidR="00056F76" w:rsidRPr="00056F76" w:rsidRDefault="00056F76" w:rsidP="00744E87">
      <w:pPr>
        <w:pStyle w:val="ListParagraph"/>
        <w:numPr>
          <w:ilvl w:val="2"/>
          <w:numId w:val="6"/>
        </w:numPr>
        <w:jc w:val="both"/>
        <w:rPr>
          <w:rFonts w:asciiTheme="majorHAnsi" w:hAnsiTheme="majorHAnsi" w:cstheme="majorHAnsi"/>
        </w:rPr>
      </w:pPr>
      <w:r w:rsidRPr="00056F76">
        <w:rPr>
          <w:rFonts w:asciiTheme="majorHAnsi" w:hAnsiTheme="majorHAnsi" w:cstheme="majorHAnsi"/>
        </w:rPr>
        <w:t>Kreditno-garantni program za velika preduzeća.</w:t>
      </w:r>
    </w:p>
    <w:p w14:paraId="2D50159C" w14:textId="77777777" w:rsidR="00E85BD1" w:rsidRPr="00E85BD1" w:rsidRDefault="00E85BD1" w:rsidP="000C5196">
      <w:pPr>
        <w:jc w:val="both"/>
        <w:rPr>
          <w:rFonts w:asciiTheme="majorHAnsi" w:hAnsiTheme="majorHAnsi" w:cstheme="majorHAnsi"/>
        </w:rPr>
      </w:pPr>
      <w:r>
        <w:rPr>
          <w:rFonts w:asciiTheme="majorHAnsi" w:hAnsiTheme="majorHAnsi" w:cstheme="majorHAnsi"/>
        </w:rPr>
        <w:t xml:space="preserve">Garancije Fonda za </w:t>
      </w:r>
      <w:r w:rsidRPr="00056F76">
        <w:rPr>
          <w:rFonts w:asciiTheme="majorHAnsi" w:hAnsiTheme="majorHAnsi" w:cstheme="majorHAnsi"/>
          <w:i/>
          <w:iCs/>
        </w:rPr>
        <w:t>mikro, mala i srednja preduzeća</w:t>
      </w:r>
      <w:r>
        <w:rPr>
          <w:rFonts w:asciiTheme="majorHAnsi" w:hAnsiTheme="majorHAnsi" w:cstheme="majorHAnsi"/>
        </w:rPr>
        <w:t xml:space="preserve"> koje su se izdavale </w:t>
      </w:r>
      <w:r w:rsidRPr="00E85BD1">
        <w:rPr>
          <w:rFonts w:asciiTheme="majorHAnsi" w:hAnsiTheme="majorHAnsi" w:cstheme="majorHAnsi"/>
        </w:rPr>
        <w:t xml:space="preserve">počev od 01.06.2021.godine tj. poslije isteka roka od 12 mjeseci od dana proglašenja prestanka nesreće uzrokovane pandemijom COVID-19, su bile usmjerene na pružanje podrške pokretanju novih poslovnih aktivnosti, rastu i razvoju postojećih mikro, malih i srednjih preduzeća, povećanju konkurentnosti, inovacijama i zapošljavanju. Garancije fonda za svaki pojedinačni kredit iznose 50% glavnice kredita. </w:t>
      </w:r>
    </w:p>
    <w:p w14:paraId="3F14C52D" w14:textId="77777777" w:rsidR="00E85BD1" w:rsidRPr="00E85BD1" w:rsidRDefault="00E85BD1" w:rsidP="000C5196">
      <w:pPr>
        <w:jc w:val="both"/>
        <w:rPr>
          <w:rFonts w:asciiTheme="majorHAnsi" w:hAnsiTheme="majorHAnsi" w:cstheme="majorHAnsi"/>
        </w:rPr>
      </w:pPr>
      <w:r w:rsidRPr="00E85BD1">
        <w:rPr>
          <w:rFonts w:asciiTheme="majorHAnsi" w:hAnsiTheme="majorHAnsi" w:cstheme="majorHAnsi"/>
        </w:rPr>
        <w:t>Garancije Fonda su bile namijenjene za finansiranje:</w:t>
      </w:r>
    </w:p>
    <w:p w14:paraId="7EDB4339" w14:textId="57D0B596" w:rsidR="00E85BD1" w:rsidRPr="00E85BD1" w:rsidRDefault="00E85BD1" w:rsidP="00E85BD1">
      <w:pPr>
        <w:pStyle w:val="ListParagraph"/>
        <w:numPr>
          <w:ilvl w:val="0"/>
          <w:numId w:val="19"/>
        </w:numPr>
        <w:jc w:val="both"/>
        <w:rPr>
          <w:rFonts w:asciiTheme="majorHAnsi" w:hAnsiTheme="majorHAnsi" w:cstheme="majorHAnsi"/>
        </w:rPr>
      </w:pPr>
      <w:r w:rsidRPr="00E85BD1">
        <w:rPr>
          <w:rFonts w:asciiTheme="majorHAnsi" w:hAnsiTheme="majorHAnsi" w:cstheme="majorHAnsi"/>
        </w:rPr>
        <w:t>tekuće likvidnosti (isplata plata, plaćanje poreza i doprinosa, i sl);</w:t>
      </w:r>
    </w:p>
    <w:p w14:paraId="5258BF20" w14:textId="77777777" w:rsidR="00E85BD1" w:rsidRDefault="00E85BD1" w:rsidP="00E85BD1">
      <w:pPr>
        <w:pStyle w:val="ListParagraph"/>
        <w:numPr>
          <w:ilvl w:val="0"/>
          <w:numId w:val="19"/>
        </w:numPr>
        <w:jc w:val="both"/>
        <w:rPr>
          <w:rFonts w:asciiTheme="majorHAnsi" w:hAnsiTheme="majorHAnsi" w:cstheme="majorHAnsi"/>
        </w:rPr>
      </w:pPr>
      <w:r w:rsidRPr="00E85BD1">
        <w:rPr>
          <w:rFonts w:asciiTheme="majorHAnsi" w:hAnsiTheme="majorHAnsi" w:cstheme="majorHAnsi"/>
        </w:rPr>
        <w:t xml:space="preserve">obrtnih sredstava i </w:t>
      </w:r>
    </w:p>
    <w:p w14:paraId="76FCA511" w14:textId="2B26CB02" w:rsidR="00E85BD1" w:rsidRPr="00E85BD1" w:rsidRDefault="00E85BD1" w:rsidP="00E85BD1">
      <w:pPr>
        <w:pStyle w:val="ListParagraph"/>
        <w:numPr>
          <w:ilvl w:val="0"/>
          <w:numId w:val="19"/>
        </w:numPr>
        <w:jc w:val="both"/>
        <w:rPr>
          <w:rFonts w:asciiTheme="majorHAnsi" w:hAnsiTheme="majorHAnsi" w:cstheme="majorHAnsi"/>
        </w:rPr>
      </w:pPr>
      <w:r w:rsidRPr="00E85BD1">
        <w:rPr>
          <w:rFonts w:asciiTheme="majorHAnsi" w:hAnsiTheme="majorHAnsi" w:cstheme="majorHAnsi"/>
        </w:rPr>
        <w:t>investicija u stalna sredstva.</w:t>
      </w:r>
    </w:p>
    <w:p w14:paraId="72F1372A" w14:textId="464C8589" w:rsidR="00E85BD1" w:rsidRDefault="00E85BD1" w:rsidP="000C5196">
      <w:pPr>
        <w:jc w:val="both"/>
        <w:rPr>
          <w:rFonts w:asciiTheme="majorHAnsi" w:hAnsiTheme="majorHAnsi" w:cstheme="majorHAnsi"/>
        </w:rPr>
      </w:pPr>
      <w:r w:rsidRPr="00E85BD1">
        <w:rPr>
          <w:rFonts w:asciiTheme="majorHAnsi" w:hAnsiTheme="majorHAnsi" w:cstheme="majorHAnsi"/>
        </w:rPr>
        <w:t xml:space="preserve">Garancije Fonda su se mogle izdavati sa rokom dospijeća do 60 mjeseci za finansiranje tekuće likvidnosti i obrtnih sredstava, te do 120 mjeseci za finansiranje investicija, uključujući grace period do 18 mjeseci za sve dugoročne kredite. </w:t>
      </w:r>
    </w:p>
    <w:p w14:paraId="61277CF6" w14:textId="3FDE4481" w:rsidR="00A63412" w:rsidRDefault="00E85BD1" w:rsidP="00E85BD1">
      <w:pPr>
        <w:jc w:val="both"/>
        <w:rPr>
          <w:rFonts w:asciiTheme="majorHAnsi" w:hAnsiTheme="majorHAnsi" w:cstheme="majorHAnsi"/>
        </w:rPr>
      </w:pPr>
      <w:r>
        <w:rPr>
          <w:rFonts w:asciiTheme="majorHAnsi" w:hAnsiTheme="majorHAnsi" w:cstheme="majorHAnsi"/>
        </w:rPr>
        <w:t xml:space="preserve">Krediti </w:t>
      </w:r>
      <w:r w:rsidRPr="00E85BD1">
        <w:rPr>
          <w:rFonts w:asciiTheme="majorHAnsi" w:hAnsiTheme="majorHAnsi" w:cstheme="majorHAnsi"/>
        </w:rPr>
        <w:t xml:space="preserve">za koje su se mogle izdavati garancije u okviru Programa su bili krediti za mikro preduzeća do 250.000 KM, za mala preduzeća do 1.000.000 KM i za srednja preduzeća do 3.000.000 KM. </w:t>
      </w:r>
    </w:p>
    <w:p w14:paraId="4D0AE0C2" w14:textId="77777777" w:rsidR="00E85BD1" w:rsidRPr="00E85BD1" w:rsidRDefault="00E85BD1" w:rsidP="00E85BD1">
      <w:pPr>
        <w:jc w:val="both"/>
        <w:rPr>
          <w:rFonts w:asciiTheme="majorHAnsi" w:hAnsiTheme="majorHAnsi" w:cstheme="majorHAnsi"/>
        </w:rPr>
      </w:pPr>
      <w:r>
        <w:rPr>
          <w:rFonts w:asciiTheme="majorHAnsi" w:hAnsiTheme="majorHAnsi" w:cstheme="majorHAnsi"/>
        </w:rPr>
        <w:t xml:space="preserve">Navedeni opći uslovi odnosili su se i na kreditno-garantni program za </w:t>
      </w:r>
      <w:r w:rsidRPr="00056F76">
        <w:rPr>
          <w:rFonts w:asciiTheme="majorHAnsi" w:hAnsiTheme="majorHAnsi" w:cstheme="majorHAnsi"/>
          <w:i/>
          <w:iCs/>
        </w:rPr>
        <w:t>obrtnike i ostale samostalne privredne djelatnosti</w:t>
      </w:r>
      <w:r>
        <w:rPr>
          <w:rFonts w:asciiTheme="majorHAnsi" w:hAnsiTheme="majorHAnsi" w:cstheme="majorHAnsi"/>
        </w:rPr>
        <w:t xml:space="preserve"> i to one </w:t>
      </w:r>
      <w:r w:rsidRPr="00E85BD1">
        <w:rPr>
          <w:rFonts w:asciiTheme="majorHAnsi" w:hAnsiTheme="majorHAnsi" w:cstheme="majorHAnsi"/>
        </w:rPr>
        <w:t xml:space="preserve">korisnike organizovane u skladu sa: </w:t>
      </w:r>
    </w:p>
    <w:p w14:paraId="57E969BA" w14:textId="5B12341C" w:rsidR="00E85BD1" w:rsidRPr="00E85BD1" w:rsidRDefault="00E85BD1" w:rsidP="00E85BD1">
      <w:pPr>
        <w:pStyle w:val="ListParagraph"/>
        <w:numPr>
          <w:ilvl w:val="0"/>
          <w:numId w:val="14"/>
        </w:numPr>
        <w:jc w:val="both"/>
        <w:rPr>
          <w:rFonts w:asciiTheme="majorHAnsi" w:hAnsiTheme="majorHAnsi" w:cstheme="majorHAnsi"/>
        </w:rPr>
      </w:pPr>
      <w:r w:rsidRPr="00E85BD1">
        <w:rPr>
          <w:rFonts w:asciiTheme="majorHAnsi" w:hAnsiTheme="majorHAnsi" w:cstheme="majorHAnsi"/>
        </w:rPr>
        <w:t>Zakonom o obrtu i srodnim djelatnostima,</w:t>
      </w:r>
    </w:p>
    <w:p w14:paraId="335FDCBE" w14:textId="5832BCBF" w:rsidR="00E85BD1" w:rsidRPr="00E85BD1" w:rsidRDefault="00E85BD1" w:rsidP="00E85BD1">
      <w:pPr>
        <w:pStyle w:val="ListParagraph"/>
        <w:numPr>
          <w:ilvl w:val="0"/>
          <w:numId w:val="14"/>
        </w:numPr>
        <w:jc w:val="both"/>
        <w:rPr>
          <w:rFonts w:asciiTheme="majorHAnsi" w:hAnsiTheme="majorHAnsi" w:cstheme="majorHAnsi"/>
        </w:rPr>
      </w:pPr>
      <w:r w:rsidRPr="00E85BD1">
        <w:rPr>
          <w:rFonts w:asciiTheme="majorHAnsi" w:hAnsiTheme="majorHAnsi" w:cstheme="majorHAnsi"/>
        </w:rPr>
        <w:t xml:space="preserve">Zakonom o ugostiteljskoj djelatnosti, </w:t>
      </w:r>
    </w:p>
    <w:p w14:paraId="5799FDA9" w14:textId="4BC1D567" w:rsidR="00E85BD1" w:rsidRPr="00E85BD1" w:rsidRDefault="00E85BD1" w:rsidP="00E85BD1">
      <w:pPr>
        <w:pStyle w:val="ListParagraph"/>
        <w:numPr>
          <w:ilvl w:val="0"/>
          <w:numId w:val="14"/>
        </w:numPr>
        <w:jc w:val="both"/>
        <w:rPr>
          <w:rFonts w:asciiTheme="majorHAnsi" w:hAnsiTheme="majorHAnsi" w:cstheme="majorHAnsi"/>
        </w:rPr>
      </w:pPr>
      <w:r w:rsidRPr="00E85BD1">
        <w:rPr>
          <w:rFonts w:asciiTheme="majorHAnsi" w:hAnsiTheme="majorHAnsi" w:cstheme="majorHAnsi"/>
        </w:rPr>
        <w:t xml:space="preserve">Zakonom o turističkoj djelatnosti i </w:t>
      </w:r>
    </w:p>
    <w:p w14:paraId="4CF6DFEE" w14:textId="528CAD7D" w:rsidR="00E85BD1" w:rsidRDefault="00E85BD1" w:rsidP="00E85BD1">
      <w:pPr>
        <w:pStyle w:val="ListParagraph"/>
        <w:numPr>
          <w:ilvl w:val="0"/>
          <w:numId w:val="14"/>
        </w:numPr>
        <w:jc w:val="both"/>
        <w:rPr>
          <w:rFonts w:asciiTheme="majorHAnsi" w:hAnsiTheme="majorHAnsi" w:cstheme="majorHAnsi"/>
        </w:rPr>
      </w:pPr>
      <w:r w:rsidRPr="00E85BD1">
        <w:rPr>
          <w:rFonts w:asciiTheme="majorHAnsi" w:hAnsiTheme="majorHAnsi" w:cstheme="majorHAnsi"/>
        </w:rPr>
        <w:t>Ostalim zakonima po kojima se organizuju samostalne privredne djelatnosti u FBiH</w:t>
      </w:r>
      <w:r>
        <w:rPr>
          <w:rFonts w:asciiTheme="majorHAnsi" w:hAnsiTheme="majorHAnsi" w:cstheme="majorHAnsi"/>
        </w:rPr>
        <w:t>.</w:t>
      </w:r>
    </w:p>
    <w:p w14:paraId="79E880FA" w14:textId="4AAD87E9" w:rsidR="00E85BD1" w:rsidRDefault="00E85BD1" w:rsidP="00E85BD1">
      <w:pPr>
        <w:jc w:val="both"/>
        <w:rPr>
          <w:rFonts w:asciiTheme="majorHAnsi" w:hAnsiTheme="majorHAnsi" w:cstheme="majorHAnsi"/>
        </w:rPr>
      </w:pPr>
      <w:r w:rsidRPr="00E85BD1">
        <w:rPr>
          <w:rFonts w:asciiTheme="majorHAnsi" w:hAnsiTheme="majorHAnsi" w:cstheme="majorHAnsi"/>
        </w:rPr>
        <w:t>Garancije Fonda mogle su se izdavati samo za korisnike kredita koji ispunjavaju uslov:  plasmani korisnika kredita u bankama na dan podnošenja zahtjeva su raspoređeni u nivo kreditnog rizika 1 ili 2. Krediti za koje se mogu izdavati garancije u okviru Programa su: 1) Krediti za likvidnost do 300.000 KM 2) Krediti za obrtna sredstva do 400.000 KM 3) Krediti za investicije do 500.000 KM.</w:t>
      </w:r>
    </w:p>
    <w:p w14:paraId="7E43D5C6" w14:textId="576C05B9" w:rsidR="00E85BD1" w:rsidRDefault="00056F76" w:rsidP="00E85BD1">
      <w:pPr>
        <w:jc w:val="both"/>
        <w:rPr>
          <w:rFonts w:asciiTheme="majorHAnsi" w:hAnsiTheme="majorHAnsi" w:cstheme="majorHAnsi"/>
        </w:rPr>
      </w:pPr>
      <w:r>
        <w:rPr>
          <w:rFonts w:asciiTheme="majorHAnsi" w:hAnsiTheme="majorHAnsi" w:cstheme="majorHAnsi"/>
        </w:rPr>
        <w:t>Prema podacima Razvojne banke Federacije BiH do januara 2022. godine p</w:t>
      </w:r>
      <w:r w:rsidRPr="00056F76">
        <w:rPr>
          <w:rFonts w:asciiTheme="majorHAnsi" w:hAnsiTheme="majorHAnsi" w:cstheme="majorHAnsi"/>
        </w:rPr>
        <w:t>održano je 243 kreditnih zahjeva privrednicima u okviru pet kreditno-garantnih programa Garancijskog fonda, te osigurane garancije za kredite u iznosu od 211.395.407,00 KM</w:t>
      </w:r>
      <w:r>
        <w:rPr>
          <w:rFonts w:asciiTheme="majorHAnsi" w:hAnsiTheme="majorHAnsi" w:cstheme="majorHAnsi"/>
        </w:rPr>
        <w:t>.</w:t>
      </w:r>
    </w:p>
    <w:p w14:paraId="6624611F" w14:textId="29C7B9FC" w:rsidR="00056F76" w:rsidRPr="00E85BD1" w:rsidRDefault="00056F76" w:rsidP="00E85BD1">
      <w:pPr>
        <w:jc w:val="both"/>
        <w:rPr>
          <w:rFonts w:asciiTheme="majorHAnsi" w:hAnsiTheme="majorHAnsi" w:cstheme="majorHAnsi"/>
        </w:rPr>
      </w:pPr>
      <w:r>
        <w:rPr>
          <w:rFonts w:asciiTheme="majorHAnsi" w:hAnsiTheme="majorHAnsi" w:cstheme="majorHAnsi"/>
        </w:rPr>
        <w:t xml:space="preserve">Broj korisnika Garancijskog fonda kontinuirano raste te je zaključno sa 16.08.2022. godine u okviru Kreditno-garantog programa za mikro, mala i srednja preduzeća podržano 240 mikro, malih i srednjih preduzeća </w:t>
      </w:r>
      <w:r w:rsidR="006A3335">
        <w:rPr>
          <w:rFonts w:asciiTheme="majorHAnsi" w:hAnsiTheme="majorHAnsi" w:cstheme="majorHAnsi"/>
        </w:rPr>
        <w:t xml:space="preserve">pri čemu je ukupan iznos obračunate i naplaćene kamate po ugovoru o kreditu iznosio </w:t>
      </w:r>
      <w:r>
        <w:rPr>
          <w:rFonts w:asciiTheme="majorHAnsi" w:hAnsiTheme="majorHAnsi" w:cstheme="majorHAnsi"/>
        </w:rPr>
        <w:t xml:space="preserve">1.196.650,69 </w:t>
      </w:r>
      <w:r w:rsidR="006A3335">
        <w:rPr>
          <w:rFonts w:asciiTheme="majorHAnsi" w:hAnsiTheme="majorHAnsi" w:cstheme="majorHAnsi"/>
        </w:rPr>
        <w:t xml:space="preserve">KM, a ukupan iznos koji je predmet regresiranja </w:t>
      </w:r>
      <w:r>
        <w:rPr>
          <w:rFonts w:asciiTheme="majorHAnsi" w:hAnsiTheme="majorHAnsi" w:cstheme="majorHAnsi"/>
        </w:rPr>
        <w:t>1.180.474,91</w:t>
      </w:r>
      <w:r w:rsidR="006A3335">
        <w:rPr>
          <w:rFonts w:asciiTheme="majorHAnsi" w:hAnsiTheme="majorHAnsi" w:cstheme="majorHAnsi"/>
        </w:rPr>
        <w:t xml:space="preserve"> KM.</w:t>
      </w:r>
      <w:r w:rsidR="006E4DE3">
        <w:rPr>
          <w:rFonts w:asciiTheme="majorHAnsi" w:hAnsiTheme="majorHAnsi" w:cstheme="majorHAnsi"/>
        </w:rPr>
        <w:t xml:space="preserve"> </w:t>
      </w:r>
    </w:p>
    <w:p w14:paraId="551C786D" w14:textId="77777777" w:rsidR="00E85BD1" w:rsidRDefault="00E85BD1">
      <w:pPr>
        <w:rPr>
          <w:rFonts w:asciiTheme="majorHAnsi" w:hAnsiTheme="majorHAnsi" w:cstheme="majorHAnsi"/>
        </w:rPr>
      </w:pPr>
    </w:p>
    <w:sectPr w:rsidR="00E85BD1" w:rsidSect="00FF51C1">
      <w:headerReference w:type="even" r:id="rId14"/>
      <w:headerReference w:type="default" r:id="rId15"/>
      <w:footerReference w:type="default" r:id="rId16"/>
      <w:headerReference w:type="first" r:id="rId17"/>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F0302" w14:textId="77777777" w:rsidR="00400375" w:rsidRDefault="00400375">
      <w:pPr>
        <w:spacing w:after="0" w:line="240" w:lineRule="auto"/>
      </w:pPr>
      <w:r>
        <w:separator/>
      </w:r>
    </w:p>
  </w:endnote>
  <w:endnote w:type="continuationSeparator" w:id="0">
    <w:p w14:paraId="7F265F6F" w14:textId="77777777" w:rsidR="00400375" w:rsidRDefault="0040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ra">
    <w:charset w:val="EE"/>
    <w:family w:val="auto"/>
    <w:pitch w:val="variable"/>
    <w:sig w:usb0="A00002FF" w:usb1="5000204B" w:usb2="00000000" w:usb3="00000000" w:csb0="00000097"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9EB5" w14:textId="6B941B0A" w:rsidR="00744E87" w:rsidRDefault="00744E87">
    <w:pPr>
      <w:pBdr>
        <w:top w:val="nil"/>
        <w:left w:val="nil"/>
        <w:bottom w:val="nil"/>
        <w:right w:val="nil"/>
        <w:between w:val="nil"/>
      </w:pBdr>
      <w:shd w:val="clear" w:color="auto" w:fill="D4E5F6"/>
      <w:tabs>
        <w:tab w:val="center" w:pos="4513"/>
        <w:tab w:val="right" w:pos="9026"/>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11EFB">
      <w:rPr>
        <w:noProof/>
        <w:color w:val="000000"/>
        <w:sz w:val="18"/>
        <w:szCs w:val="18"/>
      </w:rPr>
      <w:t>2</w:t>
    </w:r>
    <w:r>
      <w:rPr>
        <w:color w:val="000000"/>
        <w:sz w:val="18"/>
        <w:szCs w:val="18"/>
      </w:rPr>
      <w:fldChar w:fldCharType="end"/>
    </w:r>
  </w:p>
  <w:p w14:paraId="541B6835" w14:textId="77777777" w:rsidR="00744E87" w:rsidRDefault="00744E8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A4EEA" w14:textId="77777777" w:rsidR="00400375" w:rsidRDefault="00400375">
      <w:pPr>
        <w:spacing w:after="0" w:line="240" w:lineRule="auto"/>
      </w:pPr>
      <w:r>
        <w:separator/>
      </w:r>
    </w:p>
  </w:footnote>
  <w:footnote w:type="continuationSeparator" w:id="0">
    <w:p w14:paraId="0C0FC52D" w14:textId="77777777" w:rsidR="00400375" w:rsidRDefault="00400375">
      <w:pPr>
        <w:spacing w:after="0" w:line="240" w:lineRule="auto"/>
      </w:pPr>
      <w:r>
        <w:continuationSeparator/>
      </w:r>
    </w:p>
  </w:footnote>
  <w:footnote w:id="1">
    <w:p w14:paraId="5DEBC3E3" w14:textId="77777777" w:rsidR="00744E87" w:rsidRDefault="00744E8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Candara" w:eastAsia="Candara" w:hAnsi="Candara" w:cs="Candara"/>
          <w:color w:val="000000"/>
          <w:sz w:val="16"/>
          <w:szCs w:val="16"/>
        </w:rPr>
        <w:t>Izvor: Prioriteti u integraciji poduzetničkog učenja i poduzetničke ključne kompetencije u obrazovne sustave u BiH 2021-2030., Ministarstvo civilnih poslova BiH, 2020.</w:t>
      </w:r>
    </w:p>
  </w:footnote>
  <w:footnote w:id="2">
    <w:p w14:paraId="38C6BF45" w14:textId="77777777" w:rsidR="00744E87" w:rsidRDefault="00744E87">
      <w:pPr>
        <w:pBdr>
          <w:top w:val="nil"/>
          <w:left w:val="nil"/>
          <w:bottom w:val="nil"/>
          <w:right w:val="nil"/>
          <w:between w:val="nil"/>
        </w:pBdr>
        <w:spacing w:after="0" w:line="240" w:lineRule="auto"/>
        <w:rPr>
          <w:rFonts w:ascii="Candara" w:eastAsia="Candara" w:hAnsi="Candara" w:cs="Candara"/>
          <w:color w:val="000000"/>
          <w:sz w:val="16"/>
          <w:szCs w:val="16"/>
        </w:rPr>
      </w:pPr>
      <w:r>
        <w:rPr>
          <w:rStyle w:val="FootnoteReference"/>
        </w:rPr>
        <w:footnoteRef/>
      </w:r>
      <w:r>
        <w:rPr>
          <w:rFonts w:ascii="Candara" w:eastAsia="Candara" w:hAnsi="Candara" w:cs="Candara"/>
          <w:color w:val="000000"/>
          <w:sz w:val="16"/>
          <w:szCs w:val="16"/>
        </w:rPr>
        <w:t xml:space="preserve"> Agencija za ljudska prava i izbjeglice BiH, „Gender akcioni plan BiH 2018-2022“ Sarajevo, 2018. godine str. 20-21</w:t>
      </w:r>
    </w:p>
  </w:footnote>
  <w:footnote w:id="3">
    <w:p w14:paraId="3BA491CF" w14:textId="77777777" w:rsidR="00744E87" w:rsidRDefault="00744E87">
      <w:pPr>
        <w:spacing w:after="0" w:line="240" w:lineRule="auto"/>
        <w:rPr>
          <w:rFonts w:ascii="Candara" w:eastAsia="Candara" w:hAnsi="Candara" w:cs="Candara"/>
          <w:sz w:val="16"/>
          <w:szCs w:val="16"/>
        </w:rPr>
      </w:pPr>
      <w:r>
        <w:rPr>
          <w:rStyle w:val="FootnoteReference"/>
        </w:rPr>
        <w:footnoteRef/>
      </w:r>
      <w:r>
        <w:rPr>
          <w:rFonts w:ascii="Candara" w:eastAsia="Candara" w:hAnsi="Candara" w:cs="Candara"/>
          <w:sz w:val="16"/>
          <w:szCs w:val="16"/>
        </w:rPr>
        <w:t xml:space="preserve"> Digitalna budućnost za Europu, </w:t>
      </w:r>
      <w:hyperlink r:id="rId1">
        <w:r>
          <w:rPr>
            <w:rFonts w:ascii="Candara" w:eastAsia="Candara" w:hAnsi="Candara" w:cs="Candara"/>
            <w:color w:val="1155CC"/>
            <w:sz w:val="16"/>
            <w:szCs w:val="16"/>
            <w:u w:val="single"/>
          </w:rPr>
          <w:t>https://www.consilium.europa.eu/hr/policies/a-digital-future-for-europe/</w:t>
        </w:r>
      </w:hyperlink>
      <w:r>
        <w:rPr>
          <w:rFonts w:ascii="Candara" w:eastAsia="Candara" w:hAnsi="Candara" w:cs="Candara"/>
          <w:sz w:val="16"/>
          <w:szCs w:val="16"/>
        </w:rPr>
        <w:t>, pristupljeno 01.09.2022. godine</w:t>
      </w:r>
    </w:p>
  </w:footnote>
  <w:footnote w:id="4">
    <w:p w14:paraId="337A8093" w14:textId="77777777" w:rsidR="00744E87" w:rsidRPr="00DB6BC6" w:rsidRDefault="00744E87">
      <w:pPr>
        <w:spacing w:after="0" w:line="240" w:lineRule="auto"/>
        <w:rPr>
          <w:rFonts w:ascii="Candara" w:eastAsia="Candara" w:hAnsi="Candara" w:cs="Candara"/>
          <w:sz w:val="18"/>
          <w:szCs w:val="18"/>
        </w:rPr>
      </w:pPr>
      <w:r w:rsidRPr="00DB6BC6">
        <w:rPr>
          <w:rStyle w:val="FootnoteReference"/>
          <w:sz w:val="18"/>
          <w:szCs w:val="18"/>
        </w:rPr>
        <w:footnoteRef/>
      </w:r>
      <w:r w:rsidRPr="00DB6BC6">
        <w:rPr>
          <w:rFonts w:ascii="Candara" w:eastAsia="Candara" w:hAnsi="Candara" w:cs="Candara"/>
          <w:sz w:val="18"/>
          <w:szCs w:val="18"/>
        </w:rPr>
        <w:t xml:space="preserve"> eUsluge, </w:t>
      </w:r>
      <w:hyperlink r:id="rId2">
        <w:r w:rsidRPr="00DB6BC6">
          <w:rPr>
            <w:rFonts w:ascii="Candara" w:eastAsia="Candara" w:hAnsi="Candara" w:cs="Candara"/>
            <w:color w:val="1155CC"/>
            <w:sz w:val="18"/>
            <w:szCs w:val="18"/>
            <w:u w:val="single"/>
          </w:rPr>
          <w:t>http://euprava.fbih.gov.ba/sve-informacije-na-jednom-mjestu/6</w:t>
        </w:r>
      </w:hyperlink>
      <w:r w:rsidRPr="00DB6BC6">
        <w:rPr>
          <w:rFonts w:ascii="Candara" w:eastAsia="Candara" w:hAnsi="Candara" w:cs="Candara"/>
          <w:sz w:val="18"/>
          <w:szCs w:val="18"/>
        </w:rPr>
        <w:t>, pristupljeno 01.09.2022. godine</w:t>
      </w:r>
    </w:p>
  </w:footnote>
  <w:footnote w:id="5">
    <w:p w14:paraId="7DA36117" w14:textId="77777777" w:rsidR="00744E87" w:rsidRPr="00936783" w:rsidRDefault="00744E87">
      <w:pPr>
        <w:spacing w:after="0" w:line="240" w:lineRule="auto"/>
        <w:rPr>
          <w:rFonts w:eastAsia="Candara"/>
          <w:sz w:val="20"/>
          <w:szCs w:val="20"/>
        </w:rPr>
      </w:pPr>
      <w:r w:rsidRPr="00936783">
        <w:rPr>
          <w:rStyle w:val="FootnoteReference"/>
        </w:rPr>
        <w:footnoteRef/>
      </w:r>
      <w:r w:rsidRPr="00936783">
        <w:rPr>
          <w:rFonts w:eastAsia="Candara"/>
          <w:sz w:val="20"/>
          <w:szCs w:val="20"/>
        </w:rPr>
        <w:t xml:space="preserve">Istraživanje tržište rada u BiH, online,  </w:t>
      </w:r>
      <w:hyperlink r:id="rId3">
        <w:r w:rsidRPr="00936783">
          <w:rPr>
            <w:rFonts w:eastAsia="Candara"/>
            <w:color w:val="1155CC"/>
            <w:sz w:val="20"/>
            <w:szCs w:val="20"/>
            <w:u w:val="single"/>
          </w:rPr>
          <w:t>www.trziste</w:t>
        </w:r>
      </w:hyperlink>
      <w:r w:rsidRPr="00936783">
        <w:rPr>
          <w:rFonts w:eastAsia="Candara"/>
          <w:sz w:val="20"/>
          <w:szCs w:val="20"/>
        </w:rPr>
        <w:t>rada.ba, pristupljeno 01.09.2022. godine</w:t>
      </w:r>
    </w:p>
  </w:footnote>
  <w:footnote w:id="6">
    <w:p w14:paraId="2EE26378" w14:textId="77777777" w:rsidR="00744E87" w:rsidRPr="00A63412" w:rsidRDefault="00744E87" w:rsidP="00EA4D4B">
      <w:pPr>
        <w:pStyle w:val="FootnoteText"/>
        <w:rPr>
          <w:sz w:val="16"/>
          <w:szCs w:val="16"/>
          <w:lang w:val="bs-Latn-BA"/>
        </w:rPr>
      </w:pPr>
      <w:r w:rsidRPr="00A63412">
        <w:rPr>
          <w:rStyle w:val="FootnoteReference"/>
          <w:sz w:val="16"/>
          <w:szCs w:val="16"/>
        </w:rPr>
        <w:footnoteRef/>
      </w:r>
      <w:r w:rsidRPr="00A63412">
        <w:rPr>
          <w:sz w:val="16"/>
          <w:szCs w:val="16"/>
        </w:rPr>
        <w:t xml:space="preserve"> </w:t>
      </w:r>
      <w:r w:rsidRPr="00A63412">
        <w:rPr>
          <w:sz w:val="16"/>
          <w:szCs w:val="16"/>
          <w:lang w:val="bs-Latn-BA"/>
        </w:rPr>
        <w:t>U okviru  izrade Studije koju je izradilo Udruženje za digitalnu transformaciju BiH uz podršku GIZ-a 2021. godine, intervjuem je obuhvaćeno 10 kompanija iz Federacije BiH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B4A8E" w14:textId="2D967612" w:rsidR="00744E87" w:rsidRDefault="00744E8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FC60" w14:textId="003C6570" w:rsidR="00744E87" w:rsidRDefault="00744E8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64A4" w14:textId="6277EB9B" w:rsidR="00744E87" w:rsidRDefault="00744E87">
    <w:pPr>
      <w:pBdr>
        <w:top w:val="nil"/>
        <w:left w:val="nil"/>
        <w:bottom w:val="nil"/>
        <w:right w:val="nil"/>
        <w:between w:val="nil"/>
      </w:pBdr>
      <w:tabs>
        <w:tab w:val="center" w:pos="4513"/>
        <w:tab w:val="right" w:pos="9026"/>
      </w:tabs>
      <w:spacing w:after="0" w:line="240" w:lineRule="auto"/>
      <w:rPr>
        <w:color w:val="000000"/>
      </w:rPr>
    </w:pPr>
    <w:r>
      <w:rPr>
        <w:noProof/>
        <w:color w:val="000000"/>
        <w:lang w:val="en-US" w:eastAsia="en-US"/>
      </w:rPr>
      <w:drawing>
        <wp:inline distT="0" distB="0" distL="0" distR="0" wp14:anchorId="0EB99B09" wp14:editId="017D5DC6">
          <wp:extent cx="2857500" cy="1432560"/>
          <wp:effectExtent l="0" t="0" r="0" b="0"/>
          <wp:docPr id="126"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1"/>
                  <a:srcRect/>
                  <a:stretch>
                    <a:fillRect/>
                  </a:stretch>
                </pic:blipFill>
                <pic:spPr>
                  <a:xfrm>
                    <a:off x="0" y="0"/>
                    <a:ext cx="2857500" cy="14325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992"/>
    <w:multiLevelType w:val="multilevel"/>
    <w:tmpl w:val="AA1EBFD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7B14054"/>
    <w:multiLevelType w:val="hybridMultilevel"/>
    <w:tmpl w:val="2CC04FAE"/>
    <w:lvl w:ilvl="0" w:tplc="ADC4B5AC">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D3F03"/>
    <w:multiLevelType w:val="hybridMultilevel"/>
    <w:tmpl w:val="78FCDD96"/>
    <w:lvl w:ilvl="0" w:tplc="F7BC9FFE">
      <w:start w:val="3"/>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0DB1DE1"/>
    <w:multiLevelType w:val="multilevel"/>
    <w:tmpl w:val="FC304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E54651"/>
    <w:multiLevelType w:val="hybridMultilevel"/>
    <w:tmpl w:val="C0F05A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AED0A6A"/>
    <w:multiLevelType w:val="hybridMultilevel"/>
    <w:tmpl w:val="3A46F2FC"/>
    <w:lvl w:ilvl="0" w:tplc="3BF6C84E">
      <w:start w:val="1"/>
      <w:numFmt w:val="decimal"/>
      <w:lvlText w:val="%1."/>
      <w:lvlJc w:val="left"/>
      <w:pPr>
        <w:ind w:left="360" w:hanging="360"/>
      </w:pPr>
      <w:rPr>
        <w:rFonts w:asciiTheme="majorHAnsi" w:eastAsia="Calibri" w:hAnsiTheme="majorHAnsi" w:cstheme="majorHAns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1A3BF5"/>
    <w:multiLevelType w:val="multilevel"/>
    <w:tmpl w:val="C2224A8A"/>
    <w:lvl w:ilvl="0">
      <w:start w:val="2"/>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13D0C79"/>
    <w:multiLevelType w:val="multilevel"/>
    <w:tmpl w:val="43FC8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051C6"/>
    <w:multiLevelType w:val="multilevel"/>
    <w:tmpl w:val="E4228C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14A5725"/>
    <w:multiLevelType w:val="hybridMultilevel"/>
    <w:tmpl w:val="C104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B031B"/>
    <w:multiLevelType w:val="hybridMultilevel"/>
    <w:tmpl w:val="5048382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43C3856"/>
    <w:multiLevelType w:val="multilevel"/>
    <w:tmpl w:val="ECF62C58"/>
    <w:lvl w:ilvl="0">
      <w:start w:val="1"/>
      <w:numFmt w:val="decimal"/>
      <w:lvlText w:val="%1."/>
      <w:lvlJc w:val="left"/>
      <w:pPr>
        <w:ind w:left="720" w:hanging="360"/>
      </w:p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54F0E21"/>
    <w:multiLevelType w:val="hybridMultilevel"/>
    <w:tmpl w:val="7D105340"/>
    <w:lvl w:ilvl="0" w:tplc="36C82594">
      <w:numFmt w:val="bullet"/>
      <w:lvlText w:val="-"/>
      <w:lvlJc w:val="left"/>
      <w:pPr>
        <w:ind w:left="720" w:hanging="360"/>
      </w:pPr>
      <w:rPr>
        <w:rFonts w:ascii="Arial" w:eastAsia="Calibri" w:hAnsi="Arial" w:cs="Arial"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6D01FB2"/>
    <w:multiLevelType w:val="hybridMultilevel"/>
    <w:tmpl w:val="66C049C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5BEE1169"/>
    <w:multiLevelType w:val="multilevel"/>
    <w:tmpl w:val="2C98188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2A6FBF"/>
    <w:multiLevelType w:val="hybridMultilevel"/>
    <w:tmpl w:val="99F265D0"/>
    <w:lvl w:ilvl="0" w:tplc="E208F00E">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15:restartNumberingAfterBreak="0">
    <w:nsid w:val="6898571C"/>
    <w:multiLevelType w:val="hybridMultilevel"/>
    <w:tmpl w:val="1D465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EA0A3C"/>
    <w:multiLevelType w:val="hybridMultilevel"/>
    <w:tmpl w:val="A4F27A5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FCD57D1"/>
    <w:multiLevelType w:val="hybridMultilevel"/>
    <w:tmpl w:val="8C16A0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719D5439"/>
    <w:multiLevelType w:val="hybridMultilevel"/>
    <w:tmpl w:val="92E2800C"/>
    <w:lvl w:ilvl="0" w:tplc="C4B866F6">
      <w:start w:val="1"/>
      <w:numFmt w:val="bullet"/>
      <w:lvlText w:val="•"/>
      <w:lvlJc w:val="left"/>
      <w:pPr>
        <w:tabs>
          <w:tab w:val="num" w:pos="720"/>
        </w:tabs>
        <w:ind w:left="720" w:hanging="360"/>
      </w:pPr>
      <w:rPr>
        <w:rFonts w:ascii="Arial" w:hAnsi="Arial" w:hint="default"/>
      </w:rPr>
    </w:lvl>
    <w:lvl w:ilvl="1" w:tplc="5FBC2520" w:tentative="1">
      <w:start w:val="1"/>
      <w:numFmt w:val="bullet"/>
      <w:lvlText w:val="•"/>
      <w:lvlJc w:val="left"/>
      <w:pPr>
        <w:tabs>
          <w:tab w:val="num" w:pos="1440"/>
        </w:tabs>
        <w:ind w:left="1440" w:hanging="360"/>
      </w:pPr>
      <w:rPr>
        <w:rFonts w:ascii="Arial" w:hAnsi="Arial" w:hint="default"/>
      </w:rPr>
    </w:lvl>
    <w:lvl w:ilvl="2" w:tplc="98D22E48" w:tentative="1">
      <w:start w:val="1"/>
      <w:numFmt w:val="bullet"/>
      <w:lvlText w:val="•"/>
      <w:lvlJc w:val="left"/>
      <w:pPr>
        <w:tabs>
          <w:tab w:val="num" w:pos="2160"/>
        </w:tabs>
        <w:ind w:left="2160" w:hanging="360"/>
      </w:pPr>
      <w:rPr>
        <w:rFonts w:ascii="Arial" w:hAnsi="Arial" w:hint="default"/>
      </w:rPr>
    </w:lvl>
    <w:lvl w:ilvl="3" w:tplc="CCB01B78" w:tentative="1">
      <w:start w:val="1"/>
      <w:numFmt w:val="bullet"/>
      <w:lvlText w:val="•"/>
      <w:lvlJc w:val="left"/>
      <w:pPr>
        <w:tabs>
          <w:tab w:val="num" w:pos="2880"/>
        </w:tabs>
        <w:ind w:left="2880" w:hanging="360"/>
      </w:pPr>
      <w:rPr>
        <w:rFonts w:ascii="Arial" w:hAnsi="Arial" w:hint="default"/>
      </w:rPr>
    </w:lvl>
    <w:lvl w:ilvl="4" w:tplc="46660902" w:tentative="1">
      <w:start w:val="1"/>
      <w:numFmt w:val="bullet"/>
      <w:lvlText w:val="•"/>
      <w:lvlJc w:val="left"/>
      <w:pPr>
        <w:tabs>
          <w:tab w:val="num" w:pos="3600"/>
        </w:tabs>
        <w:ind w:left="3600" w:hanging="360"/>
      </w:pPr>
      <w:rPr>
        <w:rFonts w:ascii="Arial" w:hAnsi="Arial" w:hint="default"/>
      </w:rPr>
    </w:lvl>
    <w:lvl w:ilvl="5" w:tplc="E6FA905E" w:tentative="1">
      <w:start w:val="1"/>
      <w:numFmt w:val="bullet"/>
      <w:lvlText w:val="•"/>
      <w:lvlJc w:val="left"/>
      <w:pPr>
        <w:tabs>
          <w:tab w:val="num" w:pos="4320"/>
        </w:tabs>
        <w:ind w:left="4320" w:hanging="360"/>
      </w:pPr>
      <w:rPr>
        <w:rFonts w:ascii="Arial" w:hAnsi="Arial" w:hint="default"/>
      </w:rPr>
    </w:lvl>
    <w:lvl w:ilvl="6" w:tplc="CDE8DF96" w:tentative="1">
      <w:start w:val="1"/>
      <w:numFmt w:val="bullet"/>
      <w:lvlText w:val="•"/>
      <w:lvlJc w:val="left"/>
      <w:pPr>
        <w:tabs>
          <w:tab w:val="num" w:pos="5040"/>
        </w:tabs>
        <w:ind w:left="5040" w:hanging="360"/>
      </w:pPr>
      <w:rPr>
        <w:rFonts w:ascii="Arial" w:hAnsi="Arial" w:hint="default"/>
      </w:rPr>
    </w:lvl>
    <w:lvl w:ilvl="7" w:tplc="3A08D568" w:tentative="1">
      <w:start w:val="1"/>
      <w:numFmt w:val="bullet"/>
      <w:lvlText w:val="•"/>
      <w:lvlJc w:val="left"/>
      <w:pPr>
        <w:tabs>
          <w:tab w:val="num" w:pos="5760"/>
        </w:tabs>
        <w:ind w:left="5760" w:hanging="360"/>
      </w:pPr>
      <w:rPr>
        <w:rFonts w:ascii="Arial" w:hAnsi="Arial" w:hint="default"/>
      </w:rPr>
    </w:lvl>
    <w:lvl w:ilvl="8" w:tplc="9872CC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787BF2"/>
    <w:multiLevelType w:val="hybridMultilevel"/>
    <w:tmpl w:val="4404E262"/>
    <w:lvl w:ilvl="0" w:tplc="75B8AFBA">
      <w:start w:val="1"/>
      <w:numFmt w:val="decimal"/>
      <w:lvlText w:val="%1."/>
      <w:lvlJc w:val="left"/>
      <w:pPr>
        <w:ind w:left="360" w:hanging="360"/>
      </w:pPr>
      <w:rPr>
        <w:rFonts w:asciiTheme="majorHAnsi" w:eastAsia="Calibri" w:hAnsiTheme="majorHAnsi" w:cstheme="majorHAns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DA45A57"/>
    <w:multiLevelType w:val="multilevel"/>
    <w:tmpl w:val="14069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3"/>
  </w:num>
  <w:num w:numId="3">
    <w:abstractNumId w:val="11"/>
  </w:num>
  <w:num w:numId="4">
    <w:abstractNumId w:val="14"/>
  </w:num>
  <w:num w:numId="5">
    <w:abstractNumId w:val="7"/>
  </w:num>
  <w:num w:numId="6">
    <w:abstractNumId w:val="8"/>
  </w:num>
  <w:num w:numId="7">
    <w:abstractNumId w:val="1"/>
  </w:num>
  <w:num w:numId="8">
    <w:abstractNumId w:val="12"/>
  </w:num>
  <w:num w:numId="9">
    <w:abstractNumId w:val="16"/>
  </w:num>
  <w:num w:numId="10">
    <w:abstractNumId w:val="6"/>
  </w:num>
  <w:num w:numId="11">
    <w:abstractNumId w:val="2"/>
  </w:num>
  <w:num w:numId="12">
    <w:abstractNumId w:val="9"/>
  </w:num>
  <w:num w:numId="13">
    <w:abstractNumId w:val="0"/>
  </w:num>
  <w:num w:numId="14">
    <w:abstractNumId w:val="15"/>
  </w:num>
  <w:num w:numId="15">
    <w:abstractNumId w:val="4"/>
  </w:num>
  <w:num w:numId="16">
    <w:abstractNumId w:val="19"/>
  </w:num>
  <w:num w:numId="17">
    <w:abstractNumId w:val="20"/>
  </w:num>
  <w:num w:numId="18">
    <w:abstractNumId w:val="5"/>
  </w:num>
  <w:num w:numId="19">
    <w:abstractNumId w:val="18"/>
  </w:num>
  <w:num w:numId="20">
    <w:abstractNumId w:val="10"/>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CE"/>
    <w:rsid w:val="00026C1B"/>
    <w:rsid w:val="00035165"/>
    <w:rsid w:val="00041B36"/>
    <w:rsid w:val="0005192F"/>
    <w:rsid w:val="00056F76"/>
    <w:rsid w:val="000577D0"/>
    <w:rsid w:val="00084231"/>
    <w:rsid w:val="000865F9"/>
    <w:rsid w:val="00096C54"/>
    <w:rsid w:val="000B222C"/>
    <w:rsid w:val="000B2E77"/>
    <w:rsid w:val="000B5773"/>
    <w:rsid w:val="000C0689"/>
    <w:rsid w:val="000C5196"/>
    <w:rsid w:val="000C524F"/>
    <w:rsid w:val="000D65C8"/>
    <w:rsid w:val="000F7F97"/>
    <w:rsid w:val="0010687A"/>
    <w:rsid w:val="00147567"/>
    <w:rsid w:val="00151900"/>
    <w:rsid w:val="001552D3"/>
    <w:rsid w:val="00170F32"/>
    <w:rsid w:val="00170F7E"/>
    <w:rsid w:val="0018367B"/>
    <w:rsid w:val="00196FD7"/>
    <w:rsid w:val="001A3EF2"/>
    <w:rsid w:val="001B6CCE"/>
    <w:rsid w:val="001B7038"/>
    <w:rsid w:val="00202D8F"/>
    <w:rsid w:val="00207E4E"/>
    <w:rsid w:val="00213661"/>
    <w:rsid w:val="00225B11"/>
    <w:rsid w:val="00250DAD"/>
    <w:rsid w:val="0026320D"/>
    <w:rsid w:val="0027128E"/>
    <w:rsid w:val="0027351B"/>
    <w:rsid w:val="0028134C"/>
    <w:rsid w:val="002C473A"/>
    <w:rsid w:val="002C4BC2"/>
    <w:rsid w:val="002C5B08"/>
    <w:rsid w:val="002D0C7C"/>
    <w:rsid w:val="002D593C"/>
    <w:rsid w:val="0030039D"/>
    <w:rsid w:val="003043E4"/>
    <w:rsid w:val="00305EE9"/>
    <w:rsid w:val="003136F8"/>
    <w:rsid w:val="00314FAF"/>
    <w:rsid w:val="003217E1"/>
    <w:rsid w:val="00322A89"/>
    <w:rsid w:val="003422A9"/>
    <w:rsid w:val="003427E7"/>
    <w:rsid w:val="00371417"/>
    <w:rsid w:val="003807F8"/>
    <w:rsid w:val="003848B5"/>
    <w:rsid w:val="00385CE7"/>
    <w:rsid w:val="003A6D7F"/>
    <w:rsid w:val="003B731B"/>
    <w:rsid w:val="003F3704"/>
    <w:rsid w:val="00400375"/>
    <w:rsid w:val="0041313A"/>
    <w:rsid w:val="004301E2"/>
    <w:rsid w:val="00431BEC"/>
    <w:rsid w:val="00466A1B"/>
    <w:rsid w:val="004845F1"/>
    <w:rsid w:val="00494C53"/>
    <w:rsid w:val="004A03E8"/>
    <w:rsid w:val="004A139E"/>
    <w:rsid w:val="004A1D49"/>
    <w:rsid w:val="004A2F88"/>
    <w:rsid w:val="004C0398"/>
    <w:rsid w:val="004C0A93"/>
    <w:rsid w:val="004C3FB5"/>
    <w:rsid w:val="004C5A0C"/>
    <w:rsid w:val="00511CB7"/>
    <w:rsid w:val="00515DBF"/>
    <w:rsid w:val="00520971"/>
    <w:rsid w:val="005368B3"/>
    <w:rsid w:val="0054018A"/>
    <w:rsid w:val="00555762"/>
    <w:rsid w:val="00561D5A"/>
    <w:rsid w:val="0056797D"/>
    <w:rsid w:val="005827F5"/>
    <w:rsid w:val="00587DEE"/>
    <w:rsid w:val="00595CEE"/>
    <w:rsid w:val="00595F69"/>
    <w:rsid w:val="005A45FC"/>
    <w:rsid w:val="005B52DB"/>
    <w:rsid w:val="005C024B"/>
    <w:rsid w:val="005D0859"/>
    <w:rsid w:val="005F1ECB"/>
    <w:rsid w:val="00612385"/>
    <w:rsid w:val="006279EB"/>
    <w:rsid w:val="00637429"/>
    <w:rsid w:val="00642E10"/>
    <w:rsid w:val="00672818"/>
    <w:rsid w:val="00683004"/>
    <w:rsid w:val="00686AE4"/>
    <w:rsid w:val="00686C75"/>
    <w:rsid w:val="00690EE2"/>
    <w:rsid w:val="006A20FA"/>
    <w:rsid w:val="006A3335"/>
    <w:rsid w:val="006B6796"/>
    <w:rsid w:val="006E4DE3"/>
    <w:rsid w:val="006E51A7"/>
    <w:rsid w:val="006F5E0E"/>
    <w:rsid w:val="006F6596"/>
    <w:rsid w:val="0071658E"/>
    <w:rsid w:val="00722E72"/>
    <w:rsid w:val="007262CB"/>
    <w:rsid w:val="00733EBA"/>
    <w:rsid w:val="00744E87"/>
    <w:rsid w:val="00745252"/>
    <w:rsid w:val="007C1904"/>
    <w:rsid w:val="007D1929"/>
    <w:rsid w:val="007E1659"/>
    <w:rsid w:val="007E1B9B"/>
    <w:rsid w:val="007E484E"/>
    <w:rsid w:val="007F194A"/>
    <w:rsid w:val="007F1BEA"/>
    <w:rsid w:val="007F5429"/>
    <w:rsid w:val="00800536"/>
    <w:rsid w:val="00835AFF"/>
    <w:rsid w:val="00841B4F"/>
    <w:rsid w:val="00843391"/>
    <w:rsid w:val="00861313"/>
    <w:rsid w:val="00866D7C"/>
    <w:rsid w:val="00890F7F"/>
    <w:rsid w:val="008A1073"/>
    <w:rsid w:val="008B272E"/>
    <w:rsid w:val="008F1788"/>
    <w:rsid w:val="008F61D4"/>
    <w:rsid w:val="00903F3B"/>
    <w:rsid w:val="009179CB"/>
    <w:rsid w:val="00927362"/>
    <w:rsid w:val="00932A64"/>
    <w:rsid w:val="00934D13"/>
    <w:rsid w:val="00936783"/>
    <w:rsid w:val="00942633"/>
    <w:rsid w:val="009448DC"/>
    <w:rsid w:val="009734C8"/>
    <w:rsid w:val="009972A2"/>
    <w:rsid w:val="009B1B5A"/>
    <w:rsid w:val="009C4EEB"/>
    <w:rsid w:val="009C4F55"/>
    <w:rsid w:val="00A12C07"/>
    <w:rsid w:val="00A63412"/>
    <w:rsid w:val="00A713A7"/>
    <w:rsid w:val="00A7148B"/>
    <w:rsid w:val="00AA2EAC"/>
    <w:rsid w:val="00AB4F50"/>
    <w:rsid w:val="00AB7DC0"/>
    <w:rsid w:val="00B05ACE"/>
    <w:rsid w:val="00B11EFB"/>
    <w:rsid w:val="00B168FB"/>
    <w:rsid w:val="00B55886"/>
    <w:rsid w:val="00B837A6"/>
    <w:rsid w:val="00B83BF4"/>
    <w:rsid w:val="00B870E3"/>
    <w:rsid w:val="00B902EF"/>
    <w:rsid w:val="00B9277A"/>
    <w:rsid w:val="00B944DF"/>
    <w:rsid w:val="00BB2177"/>
    <w:rsid w:val="00BB311F"/>
    <w:rsid w:val="00BC0372"/>
    <w:rsid w:val="00BC73AE"/>
    <w:rsid w:val="00BF2E4B"/>
    <w:rsid w:val="00C03A60"/>
    <w:rsid w:val="00C06AC7"/>
    <w:rsid w:val="00C117BE"/>
    <w:rsid w:val="00C16E19"/>
    <w:rsid w:val="00C2241C"/>
    <w:rsid w:val="00C35006"/>
    <w:rsid w:val="00C3526B"/>
    <w:rsid w:val="00C539D2"/>
    <w:rsid w:val="00C53D3C"/>
    <w:rsid w:val="00C558D9"/>
    <w:rsid w:val="00CB5ED4"/>
    <w:rsid w:val="00D1191D"/>
    <w:rsid w:val="00D12FE6"/>
    <w:rsid w:val="00D14430"/>
    <w:rsid w:val="00D26B5E"/>
    <w:rsid w:val="00D40B8E"/>
    <w:rsid w:val="00D42DBF"/>
    <w:rsid w:val="00D45DCB"/>
    <w:rsid w:val="00D46C82"/>
    <w:rsid w:val="00D516B5"/>
    <w:rsid w:val="00D52608"/>
    <w:rsid w:val="00D712D8"/>
    <w:rsid w:val="00D91151"/>
    <w:rsid w:val="00DB6BC6"/>
    <w:rsid w:val="00DB701F"/>
    <w:rsid w:val="00DC6AAD"/>
    <w:rsid w:val="00DD14F0"/>
    <w:rsid w:val="00E05164"/>
    <w:rsid w:val="00E15192"/>
    <w:rsid w:val="00E246CB"/>
    <w:rsid w:val="00E31CB1"/>
    <w:rsid w:val="00E35191"/>
    <w:rsid w:val="00E440CE"/>
    <w:rsid w:val="00E45602"/>
    <w:rsid w:val="00E47061"/>
    <w:rsid w:val="00E5792C"/>
    <w:rsid w:val="00E6486B"/>
    <w:rsid w:val="00E6493F"/>
    <w:rsid w:val="00E701CF"/>
    <w:rsid w:val="00E80E63"/>
    <w:rsid w:val="00E85BD1"/>
    <w:rsid w:val="00EA4D4B"/>
    <w:rsid w:val="00EC50EA"/>
    <w:rsid w:val="00ED1F97"/>
    <w:rsid w:val="00ED2FB1"/>
    <w:rsid w:val="00ED6EB6"/>
    <w:rsid w:val="00ED7B99"/>
    <w:rsid w:val="00EE1AD6"/>
    <w:rsid w:val="00EE2657"/>
    <w:rsid w:val="00EE469A"/>
    <w:rsid w:val="00EE5E0D"/>
    <w:rsid w:val="00EE5ED2"/>
    <w:rsid w:val="00F26CA5"/>
    <w:rsid w:val="00F4149C"/>
    <w:rsid w:val="00F44EB1"/>
    <w:rsid w:val="00F5122A"/>
    <w:rsid w:val="00F723AA"/>
    <w:rsid w:val="00F778EC"/>
    <w:rsid w:val="00F91123"/>
    <w:rsid w:val="00FA360B"/>
    <w:rsid w:val="00FA6620"/>
    <w:rsid w:val="00FB4550"/>
    <w:rsid w:val="00FE2AA8"/>
    <w:rsid w:val="00FF1F48"/>
    <w:rsid w:val="00FF4CD0"/>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DA808"/>
  <w15:docId w15:val="{73C81EFC-6B2E-4AB1-AE8F-BF582F24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C1"/>
  </w:style>
  <w:style w:type="paragraph" w:styleId="Heading1">
    <w:name w:val="heading 1"/>
    <w:basedOn w:val="Normal"/>
    <w:next w:val="Normal"/>
    <w:link w:val="Heading1Char"/>
    <w:uiPriority w:val="9"/>
    <w:qFormat/>
    <w:rsid w:val="005A45FC"/>
    <w:pPr>
      <w:keepNext/>
      <w:keepLines/>
      <w:shd w:val="clear" w:color="auto" w:fill="1E5E9F" w:themeFill="accent3" w:themeFillShade="BF"/>
      <w:spacing w:after="240" w:line="276" w:lineRule="auto"/>
      <w:jc w:val="both"/>
      <w:outlineLvl w:val="0"/>
    </w:pPr>
    <w:rPr>
      <w:rFonts w:eastAsiaTheme="majorEastAsia" w:cstheme="majorBidi"/>
      <w:color w:val="FFFFFF" w:themeColor="background1"/>
      <w:lang w:eastAsia="hr-HR"/>
    </w:rPr>
  </w:style>
  <w:style w:type="paragraph" w:styleId="Heading2">
    <w:name w:val="heading 2"/>
    <w:basedOn w:val="Normal"/>
    <w:next w:val="Normal"/>
    <w:link w:val="Heading2Char"/>
    <w:uiPriority w:val="9"/>
    <w:unhideWhenUsed/>
    <w:qFormat/>
    <w:rsid w:val="005A45FC"/>
    <w:pPr>
      <w:keepNext/>
      <w:keepLines/>
      <w:spacing w:before="40" w:after="0"/>
      <w:outlineLvl w:val="1"/>
    </w:pPr>
    <w:rPr>
      <w:rFonts w:asciiTheme="minorHAnsi" w:eastAsiaTheme="majorEastAsia" w:hAnsiTheme="minorHAnsi" w:cstheme="majorBidi"/>
      <w:b/>
      <w:color w:val="7EB1E6" w:themeColor="accent3" w:themeTint="99"/>
      <w:szCs w:val="26"/>
    </w:rPr>
  </w:style>
  <w:style w:type="paragraph" w:styleId="Heading3">
    <w:name w:val="heading 3"/>
    <w:basedOn w:val="Normal"/>
    <w:next w:val="Normal"/>
    <w:link w:val="Heading3Char"/>
    <w:uiPriority w:val="9"/>
    <w:unhideWhenUsed/>
    <w:qFormat/>
    <w:rsid w:val="004C0398"/>
    <w:pPr>
      <w:keepNext/>
      <w:keepLines/>
      <w:spacing w:before="40" w:after="0"/>
      <w:ind w:left="1440"/>
      <w:outlineLvl w:val="2"/>
    </w:pPr>
    <w:rPr>
      <w:rFonts w:eastAsiaTheme="majorEastAsia" w:cstheme="majorBidi"/>
      <w:b/>
      <w:color w:val="7EB1E6" w:themeColor="accent3" w:themeTint="99"/>
      <w:szCs w:val="24"/>
    </w:rPr>
  </w:style>
  <w:style w:type="paragraph" w:styleId="Heading4">
    <w:name w:val="heading 4"/>
    <w:basedOn w:val="Normal"/>
    <w:next w:val="Normal"/>
    <w:uiPriority w:val="9"/>
    <w:unhideWhenUsed/>
    <w:qFormat/>
    <w:rsid w:val="00FF51C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F51C1"/>
    <w:pPr>
      <w:keepNext/>
      <w:keepLines/>
      <w:spacing w:before="220" w:after="40"/>
      <w:outlineLvl w:val="4"/>
    </w:pPr>
    <w:rPr>
      <w:b/>
    </w:rPr>
  </w:style>
  <w:style w:type="paragraph" w:styleId="Heading6">
    <w:name w:val="heading 6"/>
    <w:basedOn w:val="Normal"/>
    <w:next w:val="Normal"/>
    <w:uiPriority w:val="9"/>
    <w:semiHidden/>
    <w:unhideWhenUsed/>
    <w:qFormat/>
    <w:rsid w:val="00FF51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F51C1"/>
    <w:pPr>
      <w:keepNext/>
      <w:keepLines/>
      <w:spacing w:before="480" w:after="120"/>
    </w:pPr>
    <w:rPr>
      <w:b/>
      <w:sz w:val="72"/>
      <w:szCs w:val="72"/>
    </w:rPr>
  </w:style>
  <w:style w:type="paragraph" w:styleId="NoSpacing">
    <w:name w:val="No Spacing"/>
    <w:link w:val="NoSpacingChar"/>
    <w:uiPriority w:val="1"/>
    <w:qFormat/>
    <w:rsid w:val="00011203"/>
    <w:pPr>
      <w:spacing w:after="0" w:line="240" w:lineRule="auto"/>
    </w:pPr>
    <w:rPr>
      <w:rFonts w:eastAsiaTheme="minorEastAsia"/>
    </w:rPr>
  </w:style>
  <w:style w:type="character" w:customStyle="1" w:styleId="NoSpacingChar">
    <w:name w:val="No Spacing Char"/>
    <w:basedOn w:val="DefaultParagraphFont"/>
    <w:link w:val="NoSpacing"/>
    <w:uiPriority w:val="1"/>
    <w:rsid w:val="00011203"/>
    <w:rPr>
      <w:rFonts w:eastAsiaTheme="minorEastAsia"/>
    </w:rPr>
  </w:style>
  <w:style w:type="paragraph" w:styleId="CommentText">
    <w:name w:val="annotation text"/>
    <w:basedOn w:val="Normal"/>
    <w:link w:val="CommentTextChar"/>
    <w:uiPriority w:val="99"/>
    <w:unhideWhenUsed/>
    <w:rsid w:val="00011203"/>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rsid w:val="00011203"/>
    <w:rPr>
      <w:rFonts w:ascii="Times New Roman" w:eastAsia="Times New Roman" w:hAnsi="Times New Roman" w:cs="Times New Roman"/>
      <w:sz w:val="20"/>
      <w:szCs w:val="20"/>
      <w:lang w:val="hr-HR" w:eastAsia="hr-HR"/>
    </w:rPr>
  </w:style>
  <w:style w:type="character" w:customStyle="1" w:styleId="Heading1Char">
    <w:name w:val="Heading 1 Char"/>
    <w:basedOn w:val="DefaultParagraphFont"/>
    <w:link w:val="Heading1"/>
    <w:uiPriority w:val="9"/>
    <w:rsid w:val="005A45FC"/>
    <w:rPr>
      <w:rFonts w:eastAsiaTheme="majorEastAsia" w:cstheme="majorBidi"/>
      <w:color w:val="FFFFFF" w:themeColor="background1"/>
      <w:shd w:val="clear" w:color="auto" w:fill="1E5E9F" w:themeFill="accent3" w:themeFillShade="BF"/>
      <w:lang w:eastAsia="hr-HR"/>
    </w:rPr>
  </w:style>
  <w:style w:type="paragraph" w:styleId="ListParagraph">
    <w:name w:val="List Paragraph"/>
    <w:aliases w:val="List Paragraph1,heading 2,Heading 21,FM,Akapit z listą BS,Bullet1,References,Bullets,List Paragraph (numbered (a)),List_Paragraph,Multilevel para_II,List1,Numbered Indented Text,List Paragraph Char Char Char,List Paragraph Char Char,lp1"/>
    <w:basedOn w:val="Normal"/>
    <w:link w:val="ListParagraphChar"/>
    <w:uiPriority w:val="34"/>
    <w:qFormat/>
    <w:rsid w:val="008C3062"/>
    <w:pPr>
      <w:spacing w:after="120" w:line="264" w:lineRule="auto"/>
      <w:ind w:left="720"/>
      <w:contextualSpacing/>
    </w:pPr>
    <w:rPr>
      <w:rFonts w:eastAsiaTheme="minorEastAsia"/>
      <w:sz w:val="20"/>
      <w:szCs w:val="20"/>
      <w:lang w:val="hr-HR" w:eastAsia="hr-HR"/>
    </w:rPr>
  </w:style>
  <w:style w:type="character" w:customStyle="1" w:styleId="ListParagraphChar">
    <w:name w:val="List Paragraph Char"/>
    <w:aliases w:val="List Paragraph1 Char,heading 2 Char,Heading 21 Char,FM Char,Akapit z listą BS Char,Bullet1 Char,References Char,Bullets Char,List Paragraph (numbered (a)) Char,List_Paragraph Char,Multilevel para_II Char,List1 Char,lp1 Char"/>
    <w:link w:val="ListParagraph"/>
    <w:uiPriority w:val="34"/>
    <w:qFormat/>
    <w:locked/>
    <w:rsid w:val="008C3062"/>
    <w:rPr>
      <w:rFonts w:eastAsiaTheme="minorEastAsia"/>
      <w:sz w:val="20"/>
      <w:szCs w:val="20"/>
      <w:lang w:val="hr-HR" w:eastAsia="hr-HR"/>
    </w:rPr>
  </w:style>
  <w:style w:type="paragraph" w:customStyle="1" w:styleId="Default">
    <w:name w:val="Default"/>
    <w:basedOn w:val="Normal"/>
    <w:rsid w:val="008C3062"/>
    <w:pPr>
      <w:autoSpaceDE w:val="0"/>
      <w:autoSpaceDN w:val="0"/>
      <w:spacing w:after="120" w:line="240" w:lineRule="auto"/>
    </w:pPr>
    <w:rPr>
      <w:rFonts w:eastAsiaTheme="minorEastAsia"/>
      <w:color w:val="000000"/>
      <w:sz w:val="24"/>
      <w:szCs w:val="24"/>
      <w:lang w:val="hr-HR" w:eastAsia="hr-HR"/>
    </w:rPr>
  </w:style>
  <w:style w:type="table" w:styleId="TableGrid">
    <w:name w:val="Table Grid"/>
    <w:basedOn w:val="TableNormal"/>
    <w:uiPriority w:val="39"/>
    <w:rsid w:val="0057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F926C8"/>
    <w:pPr>
      <w:adjustRightInd w:val="0"/>
      <w:spacing w:after="0" w:line="201" w:lineRule="atLeast"/>
    </w:pPr>
    <w:rPr>
      <w:rFonts w:ascii="Lora" w:eastAsiaTheme="minorHAnsi" w:hAnsi="Lora"/>
      <w:color w:val="auto"/>
      <w:lang w:val="bs-Latn-BA" w:eastAsia="en-US"/>
    </w:rPr>
  </w:style>
  <w:style w:type="character" w:customStyle="1" w:styleId="A15">
    <w:name w:val="A15"/>
    <w:uiPriority w:val="99"/>
    <w:rsid w:val="000E5B5A"/>
    <w:rPr>
      <w:rFonts w:ascii="Wingdings 3" w:hAnsi="Wingdings 3" w:cs="Wingdings 3"/>
      <w:color w:val="000000"/>
      <w:sz w:val="20"/>
      <w:szCs w:val="20"/>
    </w:rPr>
  </w:style>
  <w:style w:type="character" w:customStyle="1" w:styleId="Heading2Char">
    <w:name w:val="Heading 2 Char"/>
    <w:basedOn w:val="DefaultParagraphFont"/>
    <w:link w:val="Heading2"/>
    <w:uiPriority w:val="9"/>
    <w:rsid w:val="005A45FC"/>
    <w:rPr>
      <w:rFonts w:asciiTheme="minorHAnsi" w:eastAsiaTheme="majorEastAsia" w:hAnsiTheme="minorHAnsi" w:cstheme="majorBidi"/>
      <w:b/>
      <w:color w:val="7EB1E6" w:themeColor="accent3" w:themeTint="99"/>
      <w:szCs w:val="26"/>
    </w:rPr>
  </w:style>
  <w:style w:type="character" w:customStyle="1" w:styleId="Heading3Char">
    <w:name w:val="Heading 3 Char"/>
    <w:basedOn w:val="DefaultParagraphFont"/>
    <w:link w:val="Heading3"/>
    <w:uiPriority w:val="9"/>
    <w:rsid w:val="004C0398"/>
    <w:rPr>
      <w:rFonts w:eastAsiaTheme="majorEastAsia" w:cstheme="majorBidi"/>
      <w:b/>
      <w:color w:val="7EB1E6" w:themeColor="accent3" w:themeTint="99"/>
      <w:szCs w:val="24"/>
    </w:rPr>
  </w:style>
  <w:style w:type="paragraph" w:styleId="TOC1">
    <w:name w:val="toc 1"/>
    <w:basedOn w:val="Normal"/>
    <w:next w:val="Normal"/>
    <w:autoRedefine/>
    <w:uiPriority w:val="39"/>
    <w:unhideWhenUsed/>
    <w:rsid w:val="00C92E42"/>
    <w:pPr>
      <w:tabs>
        <w:tab w:val="right" w:leader="dot" w:pos="9350"/>
      </w:tabs>
      <w:spacing w:after="100"/>
      <w:jc w:val="both"/>
    </w:pPr>
  </w:style>
  <w:style w:type="paragraph" w:styleId="TOC2">
    <w:name w:val="toc 2"/>
    <w:basedOn w:val="Normal"/>
    <w:next w:val="Normal"/>
    <w:autoRedefine/>
    <w:uiPriority w:val="39"/>
    <w:unhideWhenUsed/>
    <w:rsid w:val="00807816"/>
    <w:pPr>
      <w:spacing w:after="100"/>
      <w:ind w:left="220"/>
    </w:pPr>
  </w:style>
  <w:style w:type="paragraph" w:styleId="TOC3">
    <w:name w:val="toc 3"/>
    <w:basedOn w:val="Normal"/>
    <w:next w:val="Normal"/>
    <w:autoRedefine/>
    <w:uiPriority w:val="39"/>
    <w:unhideWhenUsed/>
    <w:rsid w:val="003820E4"/>
    <w:pPr>
      <w:tabs>
        <w:tab w:val="left" w:pos="1320"/>
        <w:tab w:val="right" w:leader="dot" w:pos="9350"/>
      </w:tabs>
      <w:spacing w:after="0" w:line="240" w:lineRule="auto"/>
      <w:ind w:left="440"/>
    </w:pPr>
    <w:rPr>
      <w:rFonts w:ascii="Candara" w:hAnsi="Candara"/>
      <w:noProof/>
      <w:sz w:val="20"/>
      <w:szCs w:val="20"/>
    </w:rPr>
  </w:style>
  <w:style w:type="character" w:styleId="Hyperlink">
    <w:name w:val="Hyperlink"/>
    <w:basedOn w:val="DefaultParagraphFont"/>
    <w:uiPriority w:val="99"/>
    <w:unhideWhenUsed/>
    <w:rsid w:val="00807816"/>
    <w:rPr>
      <w:color w:val="9454C3" w:themeColor="hyperlink"/>
      <w:u w:val="single"/>
    </w:rPr>
  </w:style>
  <w:style w:type="character" w:styleId="CommentReference">
    <w:name w:val="annotation reference"/>
    <w:basedOn w:val="DefaultParagraphFont"/>
    <w:uiPriority w:val="99"/>
    <w:semiHidden/>
    <w:unhideWhenUsed/>
    <w:rsid w:val="005578ED"/>
    <w:rPr>
      <w:sz w:val="16"/>
      <w:szCs w:val="16"/>
    </w:rPr>
  </w:style>
  <w:style w:type="paragraph" w:styleId="CommentSubject">
    <w:name w:val="annotation subject"/>
    <w:basedOn w:val="CommentText"/>
    <w:next w:val="CommentText"/>
    <w:link w:val="CommentSubjectChar"/>
    <w:uiPriority w:val="99"/>
    <w:semiHidden/>
    <w:unhideWhenUsed/>
    <w:rsid w:val="005578ED"/>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578ED"/>
    <w:rPr>
      <w:rFonts w:ascii="Times New Roman" w:eastAsia="Times New Roman" w:hAnsi="Times New Roman" w:cs="Times New Roman"/>
      <w:b/>
      <w:bCs/>
      <w:sz w:val="20"/>
      <w:szCs w:val="20"/>
      <w:lang w:val="hr-HR" w:eastAsia="hr-HR"/>
    </w:rPr>
  </w:style>
  <w:style w:type="paragraph" w:styleId="Header">
    <w:name w:val="header"/>
    <w:basedOn w:val="Normal"/>
    <w:link w:val="HeaderChar"/>
    <w:uiPriority w:val="99"/>
    <w:unhideWhenUsed/>
    <w:rsid w:val="00BF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E16"/>
  </w:style>
  <w:style w:type="paragraph" w:styleId="Footer">
    <w:name w:val="footer"/>
    <w:basedOn w:val="Normal"/>
    <w:link w:val="FooterChar"/>
    <w:uiPriority w:val="99"/>
    <w:unhideWhenUsed/>
    <w:rsid w:val="00BF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E16"/>
  </w:style>
  <w:style w:type="character" w:styleId="Emphasis">
    <w:name w:val="Emphasis"/>
    <w:basedOn w:val="DefaultParagraphFont"/>
    <w:uiPriority w:val="20"/>
    <w:qFormat/>
    <w:rsid w:val="00F56458"/>
    <w:rPr>
      <w:i/>
      <w:iCs/>
    </w:rPr>
  </w:style>
  <w:style w:type="paragraph" w:styleId="NormalWeb">
    <w:name w:val="Normal (Web)"/>
    <w:basedOn w:val="Normal"/>
    <w:uiPriority w:val="99"/>
    <w:unhideWhenUsed/>
    <w:rsid w:val="00B259A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Podrozdział,Footnote Text Blue,Footnote Text1,Char,fn,FOOTNOTES,single space,ADB,Footnote Text Char Char Char,Footnote Text Char Char,ft,Tegn1,Tegn1 Char,Char Char Char,Footnote Text Char2 Char Char,footnote text Char,f,footnote tex, Char"/>
    <w:basedOn w:val="Normal"/>
    <w:link w:val="FootnoteTextChar"/>
    <w:uiPriority w:val="99"/>
    <w:unhideWhenUsed/>
    <w:qFormat/>
    <w:rsid w:val="00CC1DB8"/>
    <w:pPr>
      <w:spacing w:after="0" w:line="240" w:lineRule="auto"/>
    </w:pPr>
    <w:rPr>
      <w:sz w:val="20"/>
      <w:szCs w:val="20"/>
      <w:lang w:val="hr-BA"/>
    </w:rPr>
  </w:style>
  <w:style w:type="character" w:customStyle="1" w:styleId="FootnoteTextChar">
    <w:name w:val="Footnote Text Char"/>
    <w:aliases w:val="Podrozdział Char,Footnote Text Blue Char,Footnote Text1 Char,Char Char,fn Char,FOOTNOTES Char,single space Char,ADB Char,Footnote Text Char Char Char Char,Footnote Text Char Char Char1,ft Char,Tegn1 Char1,Tegn1 Char Char,f Char"/>
    <w:basedOn w:val="DefaultParagraphFont"/>
    <w:link w:val="FootnoteText"/>
    <w:uiPriority w:val="99"/>
    <w:qFormat/>
    <w:rsid w:val="00CC1DB8"/>
    <w:rPr>
      <w:sz w:val="20"/>
      <w:szCs w:val="20"/>
      <w:lang w:val="hr-BA"/>
    </w:rPr>
  </w:style>
  <w:style w:type="character" w:styleId="FootnoteReference">
    <w:name w:val="footnote reference"/>
    <w:aliases w:val="ftref,Footnote Reference Superscript,BVI fnr, BVI fnr,Error-Fußnotenzeichen5,Error-Fußnotenzeichen6,Error-Fußnotenzeichen3,Footnote Reference1,Error-Fu?notenzeichen5,Error-Fu?notenzeichen6,Error-Fu?notenzeichen3,referencia nota al pie"/>
    <w:basedOn w:val="DefaultParagraphFont"/>
    <w:link w:val="BVIfnrChar1CharCharChar"/>
    <w:uiPriority w:val="99"/>
    <w:unhideWhenUsed/>
    <w:qFormat/>
    <w:rsid w:val="00CC1DB8"/>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CC1DB8"/>
    <w:pPr>
      <w:spacing w:before="120" w:line="240" w:lineRule="exact"/>
      <w:jc w:val="both"/>
    </w:pPr>
    <w:rPr>
      <w:vertAlign w:val="superscript"/>
    </w:rPr>
  </w:style>
  <w:style w:type="paragraph" w:customStyle="1" w:styleId="Normal1">
    <w:name w:val="Normal1"/>
    <w:basedOn w:val="Normal"/>
    <w:rsid w:val="007E3A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ADE"/>
    <w:rPr>
      <w:b/>
      <w:bCs/>
    </w:rPr>
  </w:style>
  <w:style w:type="paragraph" w:styleId="Caption">
    <w:name w:val="caption"/>
    <w:basedOn w:val="Normal"/>
    <w:next w:val="Normal"/>
    <w:uiPriority w:val="35"/>
    <w:unhideWhenUsed/>
    <w:qFormat/>
    <w:rsid w:val="003261A2"/>
    <w:pPr>
      <w:spacing w:after="200" w:line="240" w:lineRule="auto"/>
      <w:jc w:val="center"/>
    </w:pPr>
    <w:rPr>
      <w:rFonts w:ascii="Candara" w:hAnsi="Candara"/>
      <w:i/>
      <w:iCs/>
      <w:color w:val="1E5E9F" w:themeColor="accent3" w:themeShade="BF"/>
      <w:sz w:val="18"/>
      <w:szCs w:val="18"/>
    </w:rPr>
  </w:style>
  <w:style w:type="paragraph" w:styleId="Subtitle">
    <w:name w:val="Subtitle"/>
    <w:basedOn w:val="Normal"/>
    <w:next w:val="Normal"/>
    <w:uiPriority w:val="11"/>
    <w:qFormat/>
    <w:rsid w:val="00FF51C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2E07"/>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712E07"/>
    <w:rPr>
      <w:rFonts w:ascii="Tahoma" w:eastAsiaTheme="minorHAnsi" w:hAnsi="Tahoma" w:cs="Tahoma"/>
      <w:sz w:val="16"/>
      <w:szCs w:val="16"/>
      <w:lang w:val="en-US" w:eastAsia="en-US"/>
    </w:rPr>
  </w:style>
  <w:style w:type="table" w:customStyle="1" w:styleId="GridTable4-Accent51">
    <w:name w:val="Grid Table 4 - Accent 51"/>
    <w:basedOn w:val="TableNormal"/>
    <w:uiPriority w:val="49"/>
    <w:rsid w:val="000D34B6"/>
    <w:pPr>
      <w:spacing w:after="0" w:line="240" w:lineRule="auto"/>
    </w:pPr>
    <w:rPr>
      <w:rFonts w:asciiTheme="minorHAnsi" w:eastAsiaTheme="minorHAnsi" w:hAnsiTheme="minorHAnsi" w:cstheme="minorBidi"/>
      <w:lang w:val="hr-HR" w:eastAsia="en-US"/>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21">
    <w:name w:val="Grid Table 4 - Accent 21"/>
    <w:basedOn w:val="TableNormal"/>
    <w:uiPriority w:val="49"/>
    <w:rsid w:val="000D34B6"/>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1Light-Accent31">
    <w:name w:val="Grid Table 1 Light - Accent 31"/>
    <w:basedOn w:val="TableNormal"/>
    <w:uiPriority w:val="46"/>
    <w:rsid w:val="000D34B6"/>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137D5"/>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137D5"/>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a">
    <w:basedOn w:val="TableNormal"/>
    <w:rsid w:val="00FF51C1"/>
    <w:tblPr>
      <w:tblStyleRowBandSize w:val="1"/>
      <w:tblStyleColBandSize w:val="1"/>
      <w:tblCellMar>
        <w:left w:w="115" w:type="dxa"/>
        <w:right w:w="115" w:type="dxa"/>
      </w:tblCellMar>
    </w:tblPr>
  </w:style>
  <w:style w:type="table" w:customStyle="1" w:styleId="a0">
    <w:basedOn w:val="TableNormal"/>
    <w:rsid w:val="00FF51C1"/>
    <w:tblPr>
      <w:tblStyleRowBandSize w:val="1"/>
      <w:tblStyleColBandSize w:val="1"/>
      <w:tblCellMar>
        <w:left w:w="115" w:type="dxa"/>
        <w:right w:w="115" w:type="dxa"/>
      </w:tblCellMar>
    </w:tblPr>
  </w:style>
  <w:style w:type="table" w:customStyle="1" w:styleId="a1">
    <w:basedOn w:val="TableNormal"/>
    <w:rsid w:val="00FF51C1"/>
    <w:tblPr>
      <w:tblStyleRowBandSize w:val="1"/>
      <w:tblStyleColBandSize w:val="1"/>
      <w:tblCellMar>
        <w:left w:w="115" w:type="dxa"/>
        <w:right w:w="115" w:type="dxa"/>
      </w:tblCellMar>
    </w:tblPr>
  </w:style>
  <w:style w:type="table" w:customStyle="1" w:styleId="a2">
    <w:basedOn w:val="TableNormal"/>
    <w:rsid w:val="00FF51C1"/>
    <w:tblPr>
      <w:tblStyleRowBandSize w:val="1"/>
      <w:tblStyleColBandSize w:val="1"/>
      <w:tblCellMar>
        <w:left w:w="115" w:type="dxa"/>
        <w:right w:w="115" w:type="dxa"/>
      </w:tblCellMar>
    </w:tblPr>
  </w:style>
  <w:style w:type="table" w:customStyle="1" w:styleId="a3">
    <w:basedOn w:val="TableNormal"/>
    <w:rsid w:val="00FF51C1"/>
    <w:tblPr>
      <w:tblStyleRowBandSize w:val="1"/>
      <w:tblStyleColBandSize w:val="1"/>
      <w:tblCellMar>
        <w:left w:w="115" w:type="dxa"/>
        <w:right w:w="115" w:type="dxa"/>
      </w:tblCellMar>
    </w:tblPr>
  </w:style>
  <w:style w:type="table" w:customStyle="1" w:styleId="a4">
    <w:basedOn w:val="TableNormal"/>
    <w:rsid w:val="00FF51C1"/>
    <w:tblPr>
      <w:tblStyleRowBandSize w:val="1"/>
      <w:tblStyleColBandSize w:val="1"/>
      <w:tblCellMar>
        <w:left w:w="115" w:type="dxa"/>
        <w:right w:w="115" w:type="dxa"/>
      </w:tblCellMar>
    </w:tblPr>
  </w:style>
  <w:style w:type="table" w:customStyle="1" w:styleId="a5">
    <w:basedOn w:val="TableNormal"/>
    <w:rsid w:val="00FF51C1"/>
    <w:tblPr>
      <w:tblStyleRowBandSize w:val="1"/>
      <w:tblStyleColBandSize w:val="1"/>
      <w:tblCellMar>
        <w:left w:w="115" w:type="dxa"/>
        <w:right w:w="115" w:type="dxa"/>
      </w:tblCellMar>
    </w:tblPr>
  </w:style>
  <w:style w:type="table" w:customStyle="1" w:styleId="a6">
    <w:basedOn w:val="TableNormal"/>
    <w:rsid w:val="00FF51C1"/>
    <w:tblPr>
      <w:tblStyleRowBandSize w:val="1"/>
      <w:tblStyleColBandSize w:val="1"/>
      <w:tblCellMar>
        <w:left w:w="115" w:type="dxa"/>
        <w:right w:w="115" w:type="dxa"/>
      </w:tblCellMar>
    </w:tblPr>
  </w:style>
  <w:style w:type="table" w:customStyle="1" w:styleId="a7">
    <w:basedOn w:val="TableNormal"/>
    <w:rsid w:val="00FF51C1"/>
    <w:pPr>
      <w:spacing w:after="0" w:line="240" w:lineRule="auto"/>
    </w:pPr>
    <w:tblPr>
      <w:tblStyleRowBandSize w:val="1"/>
      <w:tblStyleColBandSize w:val="1"/>
    </w:tblPr>
    <w:tblStylePr w:type="firstRow">
      <w:rPr>
        <w:b/>
      </w:rPr>
      <w:tblPr/>
      <w:tcPr>
        <w:tcBorders>
          <w:bottom w:val="single" w:sz="12" w:space="0" w:color="A0C4E3"/>
        </w:tcBorders>
      </w:tcPr>
    </w:tblStylePr>
    <w:tblStylePr w:type="lastRow">
      <w:rPr>
        <w:b/>
      </w:rPr>
      <w:tblPr/>
      <w:tcPr>
        <w:tcBorders>
          <w:top w:val="single" w:sz="4" w:space="0" w:color="A0C4E3"/>
        </w:tcBorders>
      </w:tcPr>
    </w:tblStylePr>
    <w:tblStylePr w:type="firstCol">
      <w:rPr>
        <w:b/>
      </w:rPr>
    </w:tblStylePr>
    <w:tblStylePr w:type="lastCol">
      <w:rPr>
        <w:b/>
      </w:rPr>
    </w:tblStylePr>
  </w:style>
  <w:style w:type="table" w:customStyle="1" w:styleId="a8">
    <w:basedOn w:val="TableNormal"/>
    <w:rsid w:val="00FF51C1"/>
    <w:tblPr>
      <w:tblStyleRowBandSize w:val="1"/>
      <w:tblStyleColBandSize w:val="1"/>
      <w:tblCellMar>
        <w:left w:w="115" w:type="dxa"/>
        <w:right w:w="115" w:type="dxa"/>
      </w:tblCellMar>
    </w:tblPr>
  </w:style>
  <w:style w:type="table" w:customStyle="1" w:styleId="a9">
    <w:basedOn w:val="TableNormal"/>
    <w:rsid w:val="00FF51C1"/>
    <w:tblPr>
      <w:tblStyleRowBandSize w:val="1"/>
      <w:tblStyleColBandSize w:val="1"/>
      <w:tblCellMar>
        <w:left w:w="115" w:type="dxa"/>
        <w:right w:w="115" w:type="dxa"/>
      </w:tblCellMar>
    </w:tblPr>
  </w:style>
  <w:style w:type="table" w:customStyle="1" w:styleId="aa">
    <w:basedOn w:val="TableNormal"/>
    <w:rsid w:val="00FF51C1"/>
    <w:tblPr>
      <w:tblStyleRowBandSize w:val="1"/>
      <w:tblStyleColBandSize w:val="1"/>
      <w:tblCellMar>
        <w:left w:w="115" w:type="dxa"/>
        <w:right w:w="115" w:type="dxa"/>
      </w:tblCellMar>
    </w:tblPr>
  </w:style>
  <w:style w:type="table" w:customStyle="1" w:styleId="ab">
    <w:basedOn w:val="TableNormal"/>
    <w:rsid w:val="00FF51C1"/>
    <w:tblPr>
      <w:tblStyleRowBandSize w:val="1"/>
      <w:tblStyleColBandSize w:val="1"/>
      <w:tblCellMar>
        <w:left w:w="115" w:type="dxa"/>
        <w:right w:w="115" w:type="dxa"/>
      </w:tblCellMar>
    </w:tblPr>
  </w:style>
  <w:style w:type="table" w:customStyle="1" w:styleId="ac">
    <w:basedOn w:val="TableNormal"/>
    <w:rsid w:val="00FF51C1"/>
    <w:tblPr>
      <w:tblStyleRowBandSize w:val="1"/>
      <w:tblStyleColBandSize w:val="1"/>
      <w:tblCellMar>
        <w:left w:w="115" w:type="dxa"/>
        <w:right w:w="115" w:type="dxa"/>
      </w:tblCellMar>
    </w:tblPr>
  </w:style>
  <w:style w:type="table" w:customStyle="1" w:styleId="ad">
    <w:basedOn w:val="TableNormal"/>
    <w:rsid w:val="00FF51C1"/>
    <w:tblPr>
      <w:tblStyleRowBandSize w:val="1"/>
      <w:tblStyleColBandSize w:val="1"/>
      <w:tblCellMar>
        <w:left w:w="115" w:type="dxa"/>
        <w:right w:w="115" w:type="dxa"/>
      </w:tblCellMar>
    </w:tblPr>
  </w:style>
  <w:style w:type="table" w:customStyle="1" w:styleId="ae">
    <w:basedOn w:val="TableNormal"/>
    <w:rsid w:val="00FF51C1"/>
    <w:tblPr>
      <w:tblStyleRowBandSize w:val="1"/>
      <w:tblStyleColBandSize w:val="1"/>
      <w:tblCellMar>
        <w:left w:w="115" w:type="dxa"/>
        <w:right w:w="115" w:type="dxa"/>
      </w:tblCellMar>
    </w:tblPr>
  </w:style>
  <w:style w:type="table" w:customStyle="1" w:styleId="af">
    <w:basedOn w:val="TableNormal"/>
    <w:rsid w:val="00FF51C1"/>
    <w:tblPr>
      <w:tblStyleRowBandSize w:val="1"/>
      <w:tblStyleColBandSize w:val="1"/>
      <w:tblCellMar>
        <w:left w:w="115" w:type="dxa"/>
        <w:right w:w="115" w:type="dxa"/>
      </w:tblCellMar>
    </w:tblPr>
  </w:style>
  <w:style w:type="table" w:customStyle="1" w:styleId="af0">
    <w:basedOn w:val="TableNormal"/>
    <w:rsid w:val="00FF51C1"/>
    <w:tblPr>
      <w:tblStyleRowBandSize w:val="1"/>
      <w:tblStyleColBandSize w:val="1"/>
      <w:tblCellMar>
        <w:left w:w="115" w:type="dxa"/>
        <w:right w:w="115" w:type="dxa"/>
      </w:tblCellMar>
    </w:tblPr>
  </w:style>
  <w:style w:type="table" w:customStyle="1" w:styleId="af1">
    <w:basedOn w:val="TableNormal"/>
    <w:rsid w:val="00FF51C1"/>
    <w:tblPr>
      <w:tblStyleRowBandSize w:val="1"/>
      <w:tblStyleColBandSize w:val="1"/>
      <w:tblCellMar>
        <w:left w:w="115" w:type="dxa"/>
        <w:right w:w="115" w:type="dxa"/>
      </w:tblCellMar>
    </w:tblPr>
  </w:style>
  <w:style w:type="table" w:customStyle="1" w:styleId="af2">
    <w:basedOn w:val="TableNormal"/>
    <w:rsid w:val="00FF51C1"/>
    <w:tblPr>
      <w:tblStyleRowBandSize w:val="1"/>
      <w:tblStyleColBandSize w:val="1"/>
      <w:tblCellMar>
        <w:left w:w="115" w:type="dxa"/>
        <w:right w:w="115" w:type="dxa"/>
      </w:tblCellMar>
    </w:tblPr>
  </w:style>
  <w:style w:type="table" w:customStyle="1" w:styleId="af3">
    <w:basedOn w:val="TableNormal"/>
    <w:rsid w:val="00FF51C1"/>
    <w:tblPr>
      <w:tblStyleRowBandSize w:val="1"/>
      <w:tblStyleColBandSize w:val="1"/>
      <w:tblCellMar>
        <w:left w:w="115" w:type="dxa"/>
        <w:right w:w="115" w:type="dxa"/>
      </w:tblCellMar>
    </w:tblPr>
  </w:style>
  <w:style w:type="table" w:customStyle="1" w:styleId="af4">
    <w:basedOn w:val="TableNormal"/>
    <w:rsid w:val="00FF51C1"/>
    <w:tblPr>
      <w:tblStyleRowBandSize w:val="1"/>
      <w:tblStyleColBandSize w:val="1"/>
      <w:tblCellMar>
        <w:left w:w="115" w:type="dxa"/>
        <w:right w:w="115" w:type="dxa"/>
      </w:tblCellMar>
    </w:tblPr>
  </w:style>
  <w:style w:type="table" w:customStyle="1" w:styleId="af5">
    <w:basedOn w:val="TableNormal"/>
    <w:rsid w:val="00FF51C1"/>
    <w:tblPr>
      <w:tblStyleRowBandSize w:val="1"/>
      <w:tblStyleColBandSize w:val="1"/>
      <w:tblCellMar>
        <w:left w:w="115" w:type="dxa"/>
        <w:right w:w="115" w:type="dxa"/>
      </w:tblCellMar>
    </w:tblPr>
  </w:style>
  <w:style w:type="table" w:customStyle="1" w:styleId="af6">
    <w:basedOn w:val="TableNormal"/>
    <w:rsid w:val="00FF51C1"/>
    <w:tblPr>
      <w:tblStyleRowBandSize w:val="1"/>
      <w:tblStyleColBandSize w:val="1"/>
      <w:tblCellMar>
        <w:left w:w="115" w:type="dxa"/>
        <w:right w:w="115" w:type="dxa"/>
      </w:tblCellMar>
    </w:tblPr>
  </w:style>
  <w:style w:type="table" w:customStyle="1" w:styleId="af7">
    <w:basedOn w:val="TableNormal"/>
    <w:rsid w:val="00FF51C1"/>
    <w:tblPr>
      <w:tblStyleRowBandSize w:val="1"/>
      <w:tblStyleColBandSize w:val="1"/>
      <w:tblCellMar>
        <w:left w:w="115" w:type="dxa"/>
        <w:right w:w="115" w:type="dxa"/>
      </w:tblCellMar>
    </w:tblPr>
  </w:style>
  <w:style w:type="table" w:customStyle="1" w:styleId="af8">
    <w:basedOn w:val="TableNormal"/>
    <w:rsid w:val="00FF51C1"/>
    <w:tblPr>
      <w:tblStyleRowBandSize w:val="1"/>
      <w:tblStyleColBandSize w:val="1"/>
      <w:tblCellMar>
        <w:left w:w="115" w:type="dxa"/>
        <w:right w:w="115" w:type="dxa"/>
      </w:tblCellMar>
    </w:tblPr>
  </w:style>
  <w:style w:type="table" w:customStyle="1" w:styleId="af9">
    <w:basedOn w:val="TableNormal"/>
    <w:rsid w:val="00FF51C1"/>
    <w:pPr>
      <w:spacing w:after="0" w:line="240" w:lineRule="auto"/>
    </w:pPr>
    <w:tblPr>
      <w:tblStyleRowBandSize w:val="1"/>
      <w:tblStyleColBandSize w:val="1"/>
    </w:tblPr>
    <w:tblStylePr w:type="firstRow">
      <w:rPr>
        <w:b/>
      </w:rPr>
      <w:tblPr/>
      <w:tcPr>
        <w:tcBorders>
          <w:bottom w:val="single" w:sz="12" w:space="0" w:color="7EB2E6"/>
        </w:tcBorders>
      </w:tcPr>
    </w:tblStylePr>
    <w:tblStylePr w:type="lastRow">
      <w:rPr>
        <w:b/>
      </w:rPr>
      <w:tblPr/>
      <w:tcPr>
        <w:tcBorders>
          <w:top w:val="single" w:sz="4" w:space="0" w:color="7EB2E6"/>
        </w:tcBorders>
      </w:tcPr>
    </w:tblStylePr>
    <w:tblStylePr w:type="firstCol">
      <w:rPr>
        <w:b/>
      </w:rPr>
    </w:tblStylePr>
    <w:tblStylePr w:type="lastCol">
      <w:rPr>
        <w:b/>
      </w:rPr>
    </w:tblStylePr>
  </w:style>
  <w:style w:type="table" w:customStyle="1" w:styleId="afa">
    <w:basedOn w:val="TableNormal"/>
    <w:rsid w:val="00FF51C1"/>
    <w:pPr>
      <w:spacing w:after="0" w:line="240" w:lineRule="auto"/>
    </w:pPr>
    <w:tblPr>
      <w:tblStyleRowBandSize w:val="1"/>
      <w:tblStyleColBandSize w:val="1"/>
    </w:tblPr>
    <w:tblStylePr w:type="firstRow">
      <w:rPr>
        <w:b/>
      </w:rPr>
      <w:tblPr/>
      <w:tcPr>
        <w:tcBorders>
          <w:bottom w:val="single" w:sz="12" w:space="0" w:color="A0C4E3"/>
        </w:tcBorders>
      </w:tcPr>
    </w:tblStylePr>
    <w:tblStylePr w:type="lastRow">
      <w:rPr>
        <w:b/>
      </w:rPr>
      <w:tblPr/>
      <w:tcPr>
        <w:tcBorders>
          <w:top w:val="single" w:sz="4" w:space="0" w:color="A0C4E3"/>
        </w:tcBorders>
      </w:tcPr>
    </w:tblStylePr>
    <w:tblStylePr w:type="firstCol">
      <w:rPr>
        <w:b/>
      </w:rPr>
    </w:tblStylePr>
    <w:tblStylePr w:type="lastCol">
      <w:rPr>
        <w:b/>
      </w:rPr>
    </w:tblStylePr>
  </w:style>
  <w:style w:type="table" w:customStyle="1" w:styleId="afb">
    <w:basedOn w:val="TableNormal"/>
    <w:rsid w:val="00FF51C1"/>
    <w:pPr>
      <w:spacing w:after="0" w:line="240" w:lineRule="auto"/>
    </w:pPr>
    <w:tblPr>
      <w:tblStyleRowBandSize w:val="1"/>
      <w:tblStyleColBandSize w:val="1"/>
    </w:tblPr>
    <w:tblStylePr w:type="firstRow">
      <w:rPr>
        <w:b/>
      </w:rPr>
      <w:tblPr/>
      <w:tcPr>
        <w:tcBorders>
          <w:bottom w:val="single" w:sz="12" w:space="0" w:color="90A2CF"/>
        </w:tcBorders>
      </w:tcPr>
    </w:tblStylePr>
    <w:tblStylePr w:type="lastRow">
      <w:rPr>
        <w:b/>
      </w:rPr>
      <w:tblPr/>
      <w:tcPr>
        <w:tcBorders>
          <w:top w:val="single" w:sz="4" w:space="0" w:color="90A2CF"/>
        </w:tcBorders>
      </w:tcPr>
    </w:tblStylePr>
    <w:tblStylePr w:type="firstCol">
      <w:rPr>
        <w:b/>
      </w:rPr>
    </w:tblStylePr>
    <w:tblStylePr w:type="lastCol">
      <w:rPr>
        <w:b/>
      </w:rPr>
    </w:tblStylePr>
  </w:style>
  <w:style w:type="table" w:customStyle="1" w:styleId="afc">
    <w:basedOn w:val="TableNormal"/>
    <w:rsid w:val="00FF51C1"/>
    <w:pPr>
      <w:spacing w:after="0" w:line="240" w:lineRule="auto"/>
    </w:pPr>
    <w:tblPr>
      <w:tblStyleRowBandSize w:val="1"/>
      <w:tblStyleColBandSize w:val="1"/>
    </w:tblPr>
    <w:tblStylePr w:type="firstRow">
      <w:rPr>
        <w:b/>
      </w:rPr>
      <w:tblPr/>
      <w:tcPr>
        <w:tcBorders>
          <w:bottom w:val="single" w:sz="12" w:space="0" w:color="90A2CF"/>
        </w:tcBorders>
      </w:tcPr>
    </w:tblStylePr>
    <w:tblStylePr w:type="lastRow">
      <w:rPr>
        <w:b/>
      </w:rPr>
      <w:tblPr/>
      <w:tcPr>
        <w:tcBorders>
          <w:top w:val="single" w:sz="4" w:space="0" w:color="90A2CF"/>
        </w:tcBorders>
      </w:tcPr>
    </w:tblStylePr>
    <w:tblStylePr w:type="firstCol">
      <w:rPr>
        <w:b/>
      </w:rPr>
    </w:tblStylePr>
    <w:tblStylePr w:type="lastCol">
      <w:rPr>
        <w:b/>
      </w:rPr>
    </w:tblStylePr>
  </w:style>
  <w:style w:type="table" w:customStyle="1" w:styleId="afd">
    <w:basedOn w:val="TableNormal"/>
    <w:rsid w:val="00FF51C1"/>
    <w:pPr>
      <w:spacing w:after="0" w:line="240" w:lineRule="auto"/>
    </w:pPr>
    <w:tblPr>
      <w:tblStyleRowBandSize w:val="1"/>
      <w:tblStyleColBandSize w:val="1"/>
    </w:tblPr>
    <w:tblStylePr w:type="firstRow">
      <w:rPr>
        <w:b/>
      </w:rPr>
      <w:tblPr/>
      <w:tcPr>
        <w:tcBorders>
          <w:bottom w:val="single" w:sz="12" w:space="0" w:color="90A2CF"/>
        </w:tcBorders>
      </w:tcPr>
    </w:tblStylePr>
    <w:tblStylePr w:type="lastRow">
      <w:rPr>
        <w:b/>
      </w:rPr>
      <w:tblPr/>
      <w:tcPr>
        <w:tcBorders>
          <w:top w:val="single" w:sz="4" w:space="0" w:color="90A2CF"/>
        </w:tcBorders>
      </w:tcPr>
    </w:tblStylePr>
    <w:tblStylePr w:type="firstCol">
      <w:rPr>
        <w:b/>
      </w:rPr>
    </w:tblStylePr>
    <w:tblStylePr w:type="lastCol">
      <w:rPr>
        <w:b/>
      </w:rPr>
    </w:tblStylePr>
  </w:style>
  <w:style w:type="table" w:customStyle="1" w:styleId="afe">
    <w:basedOn w:val="TableNormal"/>
    <w:rsid w:val="00FF51C1"/>
    <w:pPr>
      <w:spacing w:after="0" w:line="240" w:lineRule="auto"/>
    </w:pPr>
    <w:tblPr>
      <w:tblStyleRowBandSize w:val="1"/>
      <w:tblStyleColBandSize w:val="1"/>
    </w:tblPr>
    <w:tblStylePr w:type="firstRow">
      <w:rPr>
        <w:b/>
      </w:rPr>
      <w:tblPr/>
      <w:tcPr>
        <w:tcBorders>
          <w:bottom w:val="single" w:sz="12" w:space="0" w:color="90A2CF"/>
        </w:tcBorders>
      </w:tcPr>
    </w:tblStylePr>
    <w:tblStylePr w:type="lastRow">
      <w:rPr>
        <w:b/>
      </w:rPr>
      <w:tblPr/>
      <w:tcPr>
        <w:tcBorders>
          <w:top w:val="single" w:sz="4" w:space="0" w:color="90A2CF"/>
        </w:tcBorders>
      </w:tcPr>
    </w:tblStylePr>
    <w:tblStylePr w:type="firstCol">
      <w:rPr>
        <w:b/>
      </w:rPr>
    </w:tblStylePr>
    <w:tblStylePr w:type="lastCol">
      <w:rPr>
        <w:b/>
      </w:rPr>
    </w:tblStylePr>
  </w:style>
  <w:style w:type="table" w:customStyle="1" w:styleId="aff">
    <w:basedOn w:val="TableNormal"/>
    <w:rsid w:val="00FF51C1"/>
    <w:pPr>
      <w:spacing w:after="0" w:line="240" w:lineRule="auto"/>
    </w:pPr>
    <w:tblPr>
      <w:tblStyleRowBandSize w:val="1"/>
      <w:tblStyleColBandSize w:val="1"/>
    </w:tblPr>
    <w:tblStylePr w:type="firstRow">
      <w:rPr>
        <w:b/>
      </w:rPr>
      <w:tblPr/>
      <w:tcPr>
        <w:tcBorders>
          <w:bottom w:val="single" w:sz="12" w:space="0" w:color="90A2CF"/>
        </w:tcBorders>
      </w:tcPr>
    </w:tblStylePr>
    <w:tblStylePr w:type="lastRow">
      <w:rPr>
        <w:b/>
      </w:rPr>
      <w:tblPr/>
      <w:tcPr>
        <w:tcBorders>
          <w:top w:val="single" w:sz="4" w:space="0" w:color="90A2CF"/>
        </w:tcBorders>
      </w:tcPr>
    </w:tblStylePr>
    <w:tblStylePr w:type="firstCol">
      <w:rPr>
        <w:b/>
      </w:rPr>
    </w:tblStylePr>
    <w:tblStylePr w:type="lastCol">
      <w:rPr>
        <w:b/>
      </w:rPr>
    </w:tblStylePr>
  </w:style>
  <w:style w:type="table" w:customStyle="1" w:styleId="aff0">
    <w:basedOn w:val="TableNormal"/>
    <w:rsid w:val="00FF51C1"/>
    <w:pPr>
      <w:spacing w:after="0" w:line="240" w:lineRule="auto"/>
    </w:pPr>
    <w:tblPr>
      <w:tblStyleRowBandSize w:val="1"/>
      <w:tblStyleColBandSize w:val="1"/>
    </w:tblPr>
    <w:tblStylePr w:type="firstRow">
      <w:rPr>
        <w:b/>
      </w:rPr>
      <w:tblPr/>
      <w:tcPr>
        <w:tcBorders>
          <w:bottom w:val="single" w:sz="12" w:space="0" w:color="90A2CF"/>
        </w:tcBorders>
      </w:tcPr>
    </w:tblStylePr>
    <w:tblStylePr w:type="lastRow">
      <w:rPr>
        <w:b/>
      </w:rPr>
      <w:tblPr/>
      <w:tcPr>
        <w:tcBorders>
          <w:top w:val="single" w:sz="4" w:space="0" w:color="90A2CF"/>
        </w:tcBorders>
      </w:tcPr>
    </w:tblStylePr>
    <w:tblStylePr w:type="firstCol">
      <w:rPr>
        <w:b/>
      </w:rPr>
    </w:tblStylePr>
    <w:tblStylePr w:type="lastCol">
      <w:rPr>
        <w:b/>
      </w:rPr>
    </w:tblStylePr>
  </w:style>
  <w:style w:type="table" w:customStyle="1" w:styleId="aff1">
    <w:basedOn w:val="TableNormal"/>
    <w:rsid w:val="00FF51C1"/>
    <w:pPr>
      <w:spacing w:after="0" w:line="240" w:lineRule="auto"/>
    </w:pPr>
    <w:tblPr>
      <w:tblStyleRowBandSize w:val="1"/>
      <w:tblStyleColBandSize w:val="1"/>
    </w:tblPr>
    <w:tblStylePr w:type="firstRow">
      <w:rPr>
        <w:b/>
      </w:rPr>
      <w:tblPr/>
      <w:tcPr>
        <w:tcBorders>
          <w:bottom w:val="single" w:sz="12" w:space="0" w:color="90A2CF"/>
        </w:tcBorders>
      </w:tcPr>
    </w:tblStylePr>
    <w:tblStylePr w:type="lastRow">
      <w:rPr>
        <w:b/>
      </w:rPr>
      <w:tblPr/>
      <w:tcPr>
        <w:tcBorders>
          <w:top w:val="single" w:sz="4" w:space="0" w:color="90A2CF"/>
        </w:tcBorders>
      </w:tcPr>
    </w:tblStylePr>
    <w:tblStylePr w:type="firstCol">
      <w:rPr>
        <w:b/>
      </w:rPr>
    </w:tblStylePr>
    <w:tblStylePr w:type="lastCol">
      <w:rPr>
        <w:b/>
      </w:rPr>
    </w:tblStylePr>
  </w:style>
  <w:style w:type="table" w:customStyle="1" w:styleId="MediumGrid3-Accent31">
    <w:name w:val="Medium Grid 3 - Accent 31"/>
    <w:basedOn w:val="TableNormal"/>
    <w:next w:val="MediumGrid3-Accent3"/>
    <w:uiPriority w:val="69"/>
    <w:rsid w:val="00515DBF"/>
    <w:pPr>
      <w:spacing w:after="0" w:line="240" w:lineRule="auto"/>
    </w:pPr>
    <w:rPr>
      <w:rFonts w:asciiTheme="minorHAnsi" w:eastAsia="Times New Roman" w:hAnsiTheme="minorHAnsi" w:cs="Times New Roman"/>
      <w:lang w:val="en-US" w:eastAsia="zh-T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3">
    <w:name w:val="Medium Grid 3 Accent 3"/>
    <w:basedOn w:val="TableNormal"/>
    <w:uiPriority w:val="69"/>
    <w:unhideWhenUsed/>
    <w:rsid w:val="00515D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customStyle="1" w:styleId="GridTable5Dark-Accent31">
    <w:name w:val="Grid Table 5 Dark - Accent 31"/>
    <w:basedOn w:val="TableNormal"/>
    <w:uiPriority w:val="50"/>
    <w:rsid w:val="00800536"/>
    <w:pPr>
      <w:spacing w:after="0" w:line="240" w:lineRule="auto"/>
    </w:pPr>
    <w:rPr>
      <w:rFonts w:asciiTheme="minorHAnsi" w:eastAsiaTheme="minorEastAsia" w:hAnsiTheme="minorHAnsi" w:cstheme="minorBidi"/>
      <w:lang w:val="en-US"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customStyle="1" w:styleId="GridTable4-Accent33">
    <w:name w:val="Grid Table 4 - Accent 33"/>
    <w:basedOn w:val="TableNormal"/>
    <w:uiPriority w:val="49"/>
    <w:rsid w:val="00800536"/>
    <w:pPr>
      <w:spacing w:after="0" w:line="240" w:lineRule="auto"/>
    </w:pPr>
    <w:rPr>
      <w:rFonts w:asciiTheme="minorHAnsi" w:eastAsiaTheme="minorEastAsia" w:hAnsiTheme="minorHAnsi" w:cstheme="minorBidi"/>
      <w:lang w:val="en-US" w:eastAsia="zh-TW"/>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customStyle="1" w:styleId="Char2">
    <w:name w:val="Char2"/>
    <w:basedOn w:val="Normal"/>
    <w:uiPriority w:val="99"/>
    <w:rsid w:val="00942633"/>
    <w:pPr>
      <w:spacing w:line="240" w:lineRule="exact"/>
      <w:jc w:val="both"/>
    </w:pPr>
    <w:rPr>
      <w:rFonts w:asciiTheme="minorHAnsi" w:eastAsiaTheme="minorEastAsia" w:hAnsiTheme="minorHAnsi" w:cstheme="minorBidi"/>
      <w:vertAlign w:val="superscript"/>
      <w:lang w:val="en-US" w:eastAsia="zh-TW"/>
    </w:rPr>
  </w:style>
  <w:style w:type="paragraph" w:customStyle="1" w:styleId="odlomak">
    <w:name w:val="odlomak"/>
    <w:basedOn w:val="Normal"/>
    <w:link w:val="odlomakChar"/>
    <w:qFormat/>
    <w:rsid w:val="003848B5"/>
    <w:pPr>
      <w:spacing w:before="240" w:after="120" w:line="276" w:lineRule="auto"/>
      <w:jc w:val="both"/>
    </w:pPr>
    <w:rPr>
      <w:rFonts w:asciiTheme="majorHAnsi" w:eastAsiaTheme="majorEastAsia" w:hAnsiTheme="majorHAnsi" w:cstheme="minorHAnsi"/>
      <w:lang w:val="en-US" w:eastAsia="en-US" w:bidi="en-US"/>
    </w:rPr>
  </w:style>
  <w:style w:type="character" w:customStyle="1" w:styleId="odlomakChar">
    <w:name w:val="odlomak Char"/>
    <w:basedOn w:val="DefaultParagraphFont"/>
    <w:link w:val="odlomak"/>
    <w:rsid w:val="003848B5"/>
    <w:rPr>
      <w:rFonts w:asciiTheme="majorHAnsi" w:eastAsiaTheme="majorEastAsia" w:hAnsiTheme="majorHAnsi" w:cstheme="minorHAnsi"/>
      <w:lang w:val="en-US" w:eastAsia="en-US" w:bidi="en-US"/>
    </w:rPr>
  </w:style>
  <w:style w:type="character" w:customStyle="1" w:styleId="UnresolvedMention1">
    <w:name w:val="Unresolved Mention1"/>
    <w:basedOn w:val="DefaultParagraphFont"/>
    <w:uiPriority w:val="99"/>
    <w:semiHidden/>
    <w:unhideWhenUsed/>
    <w:rsid w:val="008A1073"/>
    <w:rPr>
      <w:color w:val="605E5C"/>
      <w:shd w:val="clear" w:color="auto" w:fill="E1DFDD"/>
    </w:rPr>
  </w:style>
  <w:style w:type="table" w:styleId="GridTable6Colorful-Accent3">
    <w:name w:val="Grid Table 6 Colorful Accent 3"/>
    <w:basedOn w:val="TableNormal"/>
    <w:uiPriority w:val="51"/>
    <w:rsid w:val="004C5A0C"/>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1Light-Accent5">
    <w:name w:val="Grid Table 1 Light Accent 5"/>
    <w:basedOn w:val="TableNormal"/>
    <w:uiPriority w:val="46"/>
    <w:rsid w:val="00C558D9"/>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F778EC"/>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5">
    <w:name w:val="Grid Table 2 Accent 5"/>
    <w:basedOn w:val="TableNormal"/>
    <w:uiPriority w:val="47"/>
    <w:rsid w:val="002C473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1Light-Accent2">
    <w:name w:val="Grid Table 1 Light Accent 2"/>
    <w:basedOn w:val="TableNormal"/>
    <w:uiPriority w:val="46"/>
    <w:rsid w:val="002C473A"/>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9734C8"/>
    <w:pPr>
      <w:spacing w:after="0" w:line="240" w:lineRule="auto"/>
    </w:pPr>
  </w:style>
  <w:style w:type="paragraph" w:customStyle="1" w:styleId="pf0">
    <w:name w:val="pf0"/>
    <w:basedOn w:val="Normal"/>
    <w:rsid w:val="0097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734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2488">
      <w:bodyDiv w:val="1"/>
      <w:marLeft w:val="0"/>
      <w:marRight w:val="0"/>
      <w:marTop w:val="0"/>
      <w:marBottom w:val="0"/>
      <w:divBdr>
        <w:top w:val="none" w:sz="0" w:space="0" w:color="auto"/>
        <w:left w:val="none" w:sz="0" w:space="0" w:color="auto"/>
        <w:bottom w:val="none" w:sz="0" w:space="0" w:color="auto"/>
        <w:right w:val="none" w:sz="0" w:space="0" w:color="auto"/>
      </w:divBdr>
    </w:div>
    <w:div w:id="1407997040">
      <w:bodyDiv w:val="1"/>
      <w:marLeft w:val="0"/>
      <w:marRight w:val="0"/>
      <w:marTop w:val="0"/>
      <w:marBottom w:val="0"/>
      <w:divBdr>
        <w:top w:val="none" w:sz="0" w:space="0" w:color="auto"/>
        <w:left w:val="none" w:sz="0" w:space="0" w:color="auto"/>
        <w:bottom w:val="none" w:sz="0" w:space="0" w:color="auto"/>
        <w:right w:val="none" w:sz="0" w:space="0" w:color="auto"/>
      </w:divBdr>
    </w:div>
    <w:div w:id="1478375459">
      <w:bodyDiv w:val="1"/>
      <w:marLeft w:val="0"/>
      <w:marRight w:val="0"/>
      <w:marTop w:val="0"/>
      <w:marBottom w:val="0"/>
      <w:divBdr>
        <w:top w:val="none" w:sz="0" w:space="0" w:color="auto"/>
        <w:left w:val="none" w:sz="0" w:space="0" w:color="auto"/>
        <w:bottom w:val="none" w:sz="0" w:space="0" w:color="auto"/>
        <w:right w:val="none" w:sz="0" w:space="0" w:color="auto"/>
      </w:divBdr>
    </w:div>
    <w:div w:id="1630933651">
      <w:bodyDiv w:val="1"/>
      <w:marLeft w:val="0"/>
      <w:marRight w:val="0"/>
      <w:marTop w:val="0"/>
      <w:marBottom w:val="0"/>
      <w:divBdr>
        <w:top w:val="none" w:sz="0" w:space="0" w:color="auto"/>
        <w:left w:val="none" w:sz="0" w:space="0" w:color="auto"/>
        <w:bottom w:val="none" w:sz="0" w:space="0" w:color="auto"/>
        <w:right w:val="none" w:sz="0" w:space="0" w:color="auto"/>
      </w:divBdr>
      <w:divsChild>
        <w:div w:id="1633172307">
          <w:marLeft w:val="0"/>
          <w:marRight w:val="0"/>
          <w:marTop w:val="0"/>
          <w:marBottom w:val="436"/>
          <w:divBdr>
            <w:top w:val="none" w:sz="0" w:space="0" w:color="auto"/>
            <w:left w:val="none" w:sz="0" w:space="0" w:color="auto"/>
            <w:bottom w:val="none" w:sz="0" w:space="0" w:color="auto"/>
            <w:right w:val="none" w:sz="0" w:space="0" w:color="auto"/>
          </w:divBdr>
        </w:div>
        <w:div w:id="1882596467">
          <w:marLeft w:val="0"/>
          <w:marRight w:val="0"/>
          <w:marTop w:val="0"/>
          <w:marBottom w:val="0"/>
          <w:divBdr>
            <w:top w:val="none" w:sz="0" w:space="0" w:color="auto"/>
            <w:left w:val="none" w:sz="0" w:space="0" w:color="auto"/>
            <w:bottom w:val="none" w:sz="0" w:space="0" w:color="auto"/>
            <w:right w:val="none" w:sz="0" w:space="0" w:color="auto"/>
          </w:divBdr>
        </w:div>
      </w:divsChild>
    </w:div>
    <w:div w:id="2142571222">
      <w:bodyDiv w:val="1"/>
      <w:marLeft w:val="0"/>
      <w:marRight w:val="0"/>
      <w:marTop w:val="0"/>
      <w:marBottom w:val="0"/>
      <w:divBdr>
        <w:top w:val="none" w:sz="0" w:space="0" w:color="auto"/>
        <w:left w:val="none" w:sz="0" w:space="0" w:color="auto"/>
        <w:bottom w:val="none" w:sz="0" w:space="0" w:color="auto"/>
        <w:right w:val="none" w:sz="0" w:space="0" w:color="auto"/>
      </w:divBdr>
      <w:divsChild>
        <w:div w:id="1520587044">
          <w:marLeft w:val="547"/>
          <w:marRight w:val="0"/>
          <w:marTop w:val="0"/>
          <w:marBottom w:val="0"/>
          <w:divBdr>
            <w:top w:val="none" w:sz="0" w:space="0" w:color="auto"/>
            <w:left w:val="none" w:sz="0" w:space="0" w:color="auto"/>
            <w:bottom w:val="none" w:sz="0" w:space="0" w:color="auto"/>
            <w:right w:val="none" w:sz="0" w:space="0" w:color="auto"/>
          </w:divBdr>
        </w:div>
        <w:div w:id="646400293">
          <w:marLeft w:val="547"/>
          <w:marRight w:val="0"/>
          <w:marTop w:val="0"/>
          <w:marBottom w:val="0"/>
          <w:divBdr>
            <w:top w:val="none" w:sz="0" w:space="0" w:color="auto"/>
            <w:left w:val="none" w:sz="0" w:space="0" w:color="auto"/>
            <w:bottom w:val="none" w:sz="0" w:space="0" w:color="auto"/>
            <w:right w:val="none" w:sz="0" w:space="0" w:color="auto"/>
          </w:divBdr>
        </w:div>
        <w:div w:id="1045256178">
          <w:marLeft w:val="547"/>
          <w:marRight w:val="0"/>
          <w:marTop w:val="0"/>
          <w:marBottom w:val="0"/>
          <w:divBdr>
            <w:top w:val="none" w:sz="0" w:space="0" w:color="auto"/>
            <w:left w:val="none" w:sz="0" w:space="0" w:color="auto"/>
            <w:bottom w:val="none" w:sz="0" w:space="0" w:color="auto"/>
            <w:right w:val="none" w:sz="0" w:space="0" w:color="auto"/>
          </w:divBdr>
        </w:div>
        <w:div w:id="11923154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pomoc2021.fmrpo.gov.b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onefbih.gov.b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nefbih.gov.b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uprava.fbih.gov.b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trziste" TargetMode="External"/><Relationship Id="rId2" Type="http://schemas.openxmlformats.org/officeDocument/2006/relationships/hyperlink" Target="http://euprava.fbih.gov.ba/sve-informacije-na-jednom-mjestu/6" TargetMode="External"/><Relationship Id="rId1" Type="http://schemas.openxmlformats.org/officeDocument/2006/relationships/hyperlink" Target="https://www.consilium.europa.eu/hr/policies/a-digital-future-for-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S1Z3Gwk1r3nF/ERGsYzB/RLtEQ==">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6893F6-C4F4-4412-A376-679426F6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25145</Words>
  <Characters>143330</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Bahrija Umihanic</dc:creator>
  <cp:lastModifiedBy>Microsoft account</cp:lastModifiedBy>
  <cp:revision>2</cp:revision>
  <dcterms:created xsi:type="dcterms:W3CDTF">2022-12-02T11:18:00Z</dcterms:created>
  <dcterms:modified xsi:type="dcterms:W3CDTF">2022-12-02T11:18:00Z</dcterms:modified>
</cp:coreProperties>
</file>